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155E75"/>
            <w:tcMar>
              <w:top w:w="420" w:type="dxa"/>
              <w:start w:w="320" w:type="dxa"/>
              <w:bottom w:w="420" w:type="dxa"/>
              <w:end w:w="32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32"/>
              </w:rPr>
              <w:t>YUKIMI</w:t>
            </w:r>
          </w:p>
          <w:p>
            <w:pPr>
              <w:spacing w:before="80" w:after="0" w:line="259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EEE7F4"/>
                <w:sz w:val="18"/>
              </w:rPr>
              <w:t>DOCUMENTO INTERNO DEL EQUIPO</w:t>
            </w:r>
          </w:p>
        </w:tc>
      </w:tr>
    </w:tbl>
    <w:p/>
    <w:p>
      <w:pPr>
        <w:pStyle w:val="Title"/>
        <w:jc w:val="left"/>
      </w:pPr>
      <w:r>
        <w:rPr>
          <w:rFonts w:ascii="Liberation Sans" w:hAnsi="Liberation Sans" w:eastAsia="Liberation Sans"/>
          <w:b/>
          <w:color w:val="0E3A47"/>
          <w:sz w:val="56"/>
        </w:rPr>
        <w:t>Plan Interno de Arquitectura y Actividades</w:t>
      </w:r>
    </w:p>
    <w:p>
      <w:pPr>
        <w:pStyle w:val="Subtitle"/>
      </w:pPr>
      <w:r>
        <w:rPr>
          <w:rFonts w:ascii="Liberation Sans" w:hAnsi="Liberation Sans" w:eastAsia="Liberation Sans"/>
          <w:color w:val="667085"/>
          <w:sz w:val="26"/>
        </w:rPr>
        <w:t>Construcción escalable, mantenible y orientada a cambios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55"/>
            <w:shd w:fill="E8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0E3A47"/>
                <w:sz w:val="17"/>
              </w:rPr>
              <w:t>Proyecto</w:t>
            </w:r>
          </w:p>
        </w:tc>
        <w:tc>
          <w:tcPr>
            <w:tcW w:type="dxa" w:w="51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Yukimi Gestión</w:t>
            </w:r>
          </w:p>
        </w:tc>
      </w:tr>
      <w:tr>
        <w:tc>
          <w:tcPr>
            <w:tcW w:type="dxa" w:w="5155"/>
            <w:shd w:fill="E8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0E3A47"/>
                <w:sz w:val="17"/>
              </w:rPr>
              <w:t>Versión</w:t>
            </w:r>
          </w:p>
        </w:tc>
        <w:tc>
          <w:tcPr>
            <w:tcW w:type="dxa" w:w="51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1.0</w:t>
            </w:r>
          </w:p>
        </w:tc>
      </w:tr>
      <w:tr>
        <w:tc>
          <w:tcPr>
            <w:tcW w:type="dxa" w:w="5155"/>
            <w:shd w:fill="E8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0E3A47"/>
                <w:sz w:val="17"/>
              </w:rPr>
              <w:t>Fecha</w:t>
            </w:r>
          </w:p>
        </w:tc>
        <w:tc>
          <w:tcPr>
            <w:tcW w:type="dxa" w:w="51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29 de julio de 2026</w:t>
            </w:r>
          </w:p>
        </w:tc>
      </w:tr>
      <w:tr>
        <w:tc>
          <w:tcPr>
            <w:tcW w:type="dxa" w:w="5155"/>
            <w:shd w:fill="E8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0E3A47"/>
                <w:sz w:val="17"/>
              </w:rPr>
              <w:t>Estado</w:t>
            </w:r>
          </w:p>
        </w:tc>
        <w:tc>
          <w:tcPr>
            <w:tcW w:type="dxa" w:w="51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Para revisión y validación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8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0E3A47"/>
                <w:sz w:val="18"/>
              </w:rPr>
              <w:t>Propósito del documento</w:t>
            </w:r>
          </w:p>
          <w:p>
            <w:pPr>
              <w:spacing w:before="60" w:after="0" w:line="259" w:lineRule="auto"/>
            </w:pPr>
            <w:r>
              <w:rPr>
                <w:rFonts w:ascii="Liberation Sans" w:hAnsi="Liberation Sans" w:eastAsia="Liberation Sans"/>
                <w:color w:val="253041"/>
                <w:sz w:val="18"/>
              </w:rPr>
              <w:t>Definir la arquitectura, los patrones, las decisiones técnicas y el orden de actividades para construir y evolucionar el sistema con cambios localizados y verificables.</w:t>
            </w:r>
          </w:p>
        </w:tc>
      </w:tr>
    </w:tbl>
    <w:p/>
    <w:p/>
    <w:p/>
    <w:p/>
    <w:p>
      <w:pPr>
        <w:jc w:val="center"/>
      </w:pPr>
      <w:r>
        <w:rPr>
          <w:rFonts w:ascii="Liberation Sans" w:hAnsi="Liberation Sans" w:eastAsia="Liberation Sans"/>
          <w:b/>
          <w:color w:val="667085"/>
          <w:sz w:val="17"/>
        </w:rPr>
        <w:t>CONFIDENCIAL - Uso interno del equipo de desarrollo</w:t>
      </w:r>
    </w:p>
    <w:p>
      <w:r>
        <w:br w:type="page"/>
      </w:r>
    </w:p>
    <w:p>
      <w:pPr>
        <w:pStyle w:val="Heading1"/>
      </w:pPr>
      <w:r>
        <w:t>1. Objetivo técnico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Construir Yukimi Gestión de forma incremental, con un núcleo de negocio estable y módulos desacoplados. Las reglas que cambian con frecuencia deberán residir en configuraciones o estrategias sustituibles, evitando modificaciones transversales y reduciendo el riesgo de regresiones.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8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3" w:color="CFC6D8"/>
              <w:left w:val="single" w:sz="18" w:color="0E3A47"/>
              <w:bottom w:val="single" w:sz="3" w:color="CFC6D8"/>
              <w:right w:val="single" w:sz="3" w:color="CFC6D8"/>
            </w:tcBorders>
          </w:tcPr>
          <w:p>
            <w:r>
              <w:rPr>
                <w:rFonts w:ascii="Liberation Sans" w:hAnsi="Liberation Sans" w:eastAsia="Liberation Sans"/>
                <w:b/>
                <w:color w:val="0E3A47"/>
                <w:sz w:val="18"/>
              </w:rPr>
              <w:t>Criterio rector</w:t>
            </w:r>
          </w:p>
          <w:p>
            <w:pPr>
              <w:spacing w:before="40" w:after="0" w:line="259" w:lineRule="auto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Cada decisión técnica debe facilitar al menos una de estas propiedades: cambio localizado, pruebas independientes, consistencia transaccional, trazabilidad o sustitución de infraestructura.</w:t>
            </w:r>
          </w:p>
        </w:tc>
      </w:tr>
    </w:tbl>
    <w:p>
      <w:pPr>
        <w:spacing w:after="0"/>
      </w:pPr>
    </w:p>
    <w:p>
      <w:pPr>
        <w:pStyle w:val="Heading1"/>
      </w:pPr>
      <w:r>
        <w:t>2. Principios de arquitectura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344"/>
      </w:tblGrid>
      <w:tr>
        <w:trPr>
          <w:tblHeader w:val="true"/>
        </w:trPr>
        <w:tc>
          <w:tcPr>
            <w:tcW w:type="dxa" w:w="5155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5155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Aplicación práctica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Dominio primero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Modelar ventas, reservas, pagos, inventario, entregas e importaciones antes de diseñar pantallas.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Separación de responsabilidades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La lógica del negocio no dependerá del framework, la base de datos ni del proveedor de notificaciones.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Configuración antes que código rígido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Penalidades, plazos, categorías, umbrales y catálogos variables se almacenarán como datos configurables.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Consistencia transaccional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Toda operación que afecte varios módulos deberá completarse o revertirse como una unidad.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Eventos de dominio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Las acciones principales publicarán eventos para auditoría, notificaciones y proyecciones sin acoplar los módulos.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Pruebas desde el inicio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Cada regla crítica tendrá pruebas antes de integrarse con la interfaz.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Evolución compatible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Los cambios de datos se realizarán mediante migraciones versionadas y contratos estables.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Simplicidad deliberada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No se introducirán patrones o servicios distribuidos que no aporten valor al tamaño actual del sistema.</w:t>
            </w:r>
          </w:p>
        </w:tc>
      </w:tr>
    </w:tbl>
    <w:p>
      <w:pPr>
        <w:spacing w:after="20"/>
      </w:pPr>
    </w:p>
    <w:p>
      <w:pPr>
        <w:pStyle w:val="Heading1"/>
      </w:pPr>
      <w:r>
        <w:t>3. Arquitectura recomendada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Se recomienda una arquitectura modular con enfoque Clean/Hexagonal. El dominio y los casos de uso constituyen el núcleo; la base de datos, almacenamiento, correo, push y frontend son adaptadores reemplazables.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5155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5155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Dominio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Entidades, objetos de valor, políticas, estados, eventos y reglas puras.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Aplicación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Casos de uso, comandos, consultas, coordinación de transacciones y autorización.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Puertos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Interfaces para repositorios, notificaciones, archivos, reloj, identificadores y auditoría.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Infraestructura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PostgreSQL/Supabase, Storage, servicios de correo, push, exportadores y adaptadores externos.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Presentación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API/funciones y aplicación web/PWA.</w:t>
            </w:r>
          </w:p>
        </w:tc>
      </w:tr>
    </w:tbl>
    <w:p>
      <w:pPr>
        <w:spacing w:after="20"/>
      </w:pPr>
    </w:p>
    <w:p>
      <w:pPr>
        <w:pStyle w:val="Heading2"/>
      </w:pPr>
      <w:r>
        <w:t>3.1 Estructura lógica propuesta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src/domain/&lt;modulo&gt;: entidades, reglas, eventos y excepciones de negocio.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src/application/&lt;modulo&gt;: casos de uso, DTO, validadores y puertos.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src/infrastructure: repositorios, persistencia, storage, notificaciones y exportadores.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src/interfaces: endpoints, autenticación, serialización y manejo de errores.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src/shared: identificadores, fechas, moneda, resultado, paginación y utilidades sin reglas específicas.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tests/unit, tests/integration y tests/e2e organizados por módulo.</w:t>
      </w:r>
    </w:p>
    <w:p>
      <w:pPr>
        <w:pStyle w:val="Heading1"/>
      </w:pPr>
      <w:r>
        <w:t>4. Patrones de diseño y uso previsto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5155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Patrón</w:t>
            </w:r>
          </w:p>
        </w:tc>
        <w:tc>
          <w:tcPr>
            <w:tcW w:type="dxa" w:w="5155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Aplicación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Repository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Ocultar el acceso a PostgreSQL y permitir probar casos de uso con repositorios en memoria.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Unit of Work / Transacción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Coordinar venta, stock, pago e ingreso para confirmar o revertir la operación completa.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Strategy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Variar cálculos de penalidad, descuento, costo unitario y reglas VIP sin cambiar el caso de uso principal.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State / Máquina de estados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Controlar transiciones válidas de ventas, pagos, entregas, importaciones y conciliaciones.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Observer / Domain Events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Reaccionar a PagoConfirmado, StockBajo, ImportaciónRecibida o VentaAnulada para auditoría y notificaciones.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Adapter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Aislar Supabase, Storage, correo, push, Excel/PDF y futuras integraciones.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Factory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Crear exportadores, notificaciones y documentos según tipo o canal.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Specification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Construir filtros reutilizables de ventas, productos, clientes y movimientos.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Policy Object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Encapsular reglas como plazo de pago, elegibilidad VIP y liberación.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Outbox transaccional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Guardar eventos/notificaciones junto con la operación y enviarlos de forma segura posteriormente.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Idempotency Key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Evitar duplicados por doble clic o reintentos de red en pagos, ventas e importaciones.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Feature Flag / Configuración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Activar funciones pendientes o nuevas políticas sin despliegues riesgosos.</w:t>
            </w:r>
          </w:p>
        </w:tc>
      </w:tr>
    </w:tbl>
    <w:p>
      <w:pPr>
        <w:spacing w:after="20"/>
      </w:pPr>
    </w:p>
    <w:p>
      <w:pPr>
        <w:pStyle w:val="Heading1"/>
      </w:pPr>
      <w:r>
        <w:t>5. Decisiones de diseño obligatorias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Usar UUID como identificador interno y códigos correlativos únicamente como identificadores visibles.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No almacenar un único campo de stock mutable sin historial; utilizar movimientos y saldos materializados protegidos por transacciones.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Separar estado comercial, estado de pago y estado de entrega.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Representar pagos, boletas y entregas como colecciones, no como columnas fijas Pago1, Pago2 o Boleta1.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Representar lotes para conservar costos distintos del mismo producto en importaciones diferentes.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Aplicar borrado lógico o anulación y nunca borrado físico de operaciones comerciales.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Usar valores monetarios decimales, no números flotantes.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Guardar todas las fechas en UTC y mostrarlas en la zona horaria de Perú.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Proteger archivos con rutas privadas y enlaces temporales.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Introducir índices, paginación y filtros desde la primera versión.</w:t>
      </w:r>
    </w:p>
    <w:p>
      <w:pPr>
        <w:pStyle w:val="Heading1"/>
      </w:pPr>
      <w:r>
        <w:t>6. Orden de implementación por dependencias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952"/>
        <w:gridCol w:w="6264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Orden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Fundaciones técnicas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Todo módulo depende de autenticación, errores, configuración, auditoría y migraciones.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Catálogos y productos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Define las referencias usadas por inventario, importaciones y ventas.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Almacenes e inventario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Es la base para reservas, ventas, preventas y entregas.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4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Clientes y VIP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Necesario para ventas, límites, historial y notificaciones.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Ventas, reservas y pagos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Núcleo operativo y principal fuente de ingresos.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6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Penalidades, anulaciones y devoluciones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Completa los escenarios alternativos del núcleo.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Boletas y entregas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Dependen de pagos confirmados y productos vendidos.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8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Importaciones y lotes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Alimenta inventario y preventas con costos reales.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9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Finanzas y conciliación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Consolida pagos, gastos, cuentas y bancos.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Notificaciones y reportes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Consume eventos de todos los módulos anteriores.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Frontend integral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Se construye sobre contratos estables y casos de uso probados.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Despliegue, aceptación y operación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Cierra calidad, seguridad y entrega.</w:t>
            </w:r>
          </w:p>
        </w:tc>
      </w:tr>
    </w:tbl>
    <w:p>
      <w:pPr>
        <w:spacing w:after="20"/>
      </w:pPr>
    </w:p>
    <w:p>
      <w:pPr>
        <w:pStyle w:val="Heading1"/>
      </w:pPr>
      <w:r>
        <w:t>7. Lista de actividades paso a paso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La siguiente lista constituye el plan de trabajo recomendado. Cada fase posee entregables y un criterio de salida; no debe avanzarse a una fase dependiente sin cumplir el criterio indicado.</w:t>
      </w:r>
    </w:p>
    <w:p>
      <w:pPr>
        <w:pStyle w:val="Heading2"/>
      </w:pPr>
      <w:r>
        <w:t>Fase 0. Gobierno y preparación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0.1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Nombrar el proyecto, responsables y repositorios oficiales.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Repositorio y responsables definidos.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0.2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Crear tablero de trabajo con estados: Pendiente, En análisis, En desarrollo, En revisión, En pruebas y Terminado.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Tablero operativo.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0.3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convención de ramas, commits, revisiones y versiones.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Guía de contribución.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0.4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ambientes local, pruebas y producción.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Matriz de ambientes y secretos.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0.5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Registrar riesgos iniciales: infraestructura gratuita, almacenamiento, notificaciones y datos pendientes.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Registro de riesgos.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0.6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Aprobar la especificación de requisitos con el cliente.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ERS firmada o validada por escrito.</w:t>
            </w:r>
          </w:p>
        </w:tc>
      </w:tr>
    </w:tbl>
    <w:p>
      <w:pPr>
        <w:spacing w:after="20"/>
      </w:pPr>
    </w:p>
    <w:p>
      <w:pPr>
        <w:pStyle w:val="Heading2"/>
      </w:pPr>
      <w:r>
        <w:t>Fase 1. Línea base y trazabilidad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Convertir cada requisito funcional y no funcional en elementos del backlog.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Backlog con ID de requisito.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Crear matriz de trazabilidad requisito-caso de uso-prueba-pantalla.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Matriz inicial.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Clasificar puntos pendientes y asignar fecha de decisión.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Registro de decisiones pendientes.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criterios de aceptación detallados para el MVP.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Criterios verificables.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Priorizar requisitos por entregas: núcleo, finanzas/importaciones y automatización.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Roadmap aprobado.</w:t>
            </w:r>
          </w:p>
        </w:tc>
      </w:tr>
    </w:tbl>
    <w:p>
      <w:pPr>
        <w:spacing w:after="20"/>
      </w:pPr>
    </w:p>
    <w:p>
      <w:pPr>
        <w:pStyle w:val="Heading2"/>
      </w:pPr>
      <w:r>
        <w:t>Fase 2. Modelado del dominio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Realizar sesiones de Event Storming para venta, pago, inventario, entrega e importación.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Mapa de eventos y comandos.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contextos o módulos y sus límites.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Mapa de módulos.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Modelar entidades, objetos de valor y agregados.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Modelo de dominio.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invariantes: stock no negativo, una venta-un cliente, conciliación única y pagos confirmados.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Catálogo de invariantes.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Diseñar máquinas de estados y transiciones válidas.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Diagramas de estados.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eventos de dominio y consumidores.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Catálogo de eventos.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Documentar decisiones mediante ADR.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ADR iniciales aprobados.</w:t>
            </w:r>
          </w:p>
        </w:tc>
      </w:tr>
    </w:tbl>
    <w:p>
      <w:pPr>
        <w:spacing w:after="20"/>
      </w:pPr>
    </w:p>
    <w:p>
      <w:pPr>
        <w:pStyle w:val="Heading2"/>
      </w:pPr>
      <w:r>
        <w:t>Fase 3. Diseño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Diseñar el modelo entidad-relación completo.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DER validado.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claves, restricciones, índices y políticas de borrado lógico.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Diccionario de datos.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Modelar lotes, existencias y movimientos de inventario.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Diseño de inventario.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Modelar ventas, detalles, pagos, constancias, penalidades, boletas y entregas como relaciones uno-a-muchos.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Diseño comercial.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Modelar importaciones, cajas, productos esperados, incidencias y costos.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Diseño logístico.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Modelar cuentas, movimientos, préstamos, archivos bancarios y conciliaciones.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Diseño financiero.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auditoría, outbox y configuraciones.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Tablas transversales.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3.8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Crear migraciones iniciales y datos semilla.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Base reproducible desde cero.</w:t>
            </w:r>
          </w:p>
        </w:tc>
      </w:tr>
    </w:tbl>
    <w:p>
      <w:pPr>
        <w:spacing w:after="20"/>
      </w:pPr>
    </w:p>
    <w:p>
      <w:pPr>
        <w:pStyle w:val="Heading2"/>
      </w:pPr>
      <w:r>
        <w:t>Fase 4. Esqueleto técnico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4.1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Crear la estructura modular del backend y sus reglas de dependencias.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Proyecto compilable.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4.2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Configurar validación de entrada, manejo global de errores y formato de respuesta.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Infraestructura transversal.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4.3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Configurar autenticación, autorización y políticas de acceso.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Acceso seguro probado.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4.4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repositorios base, transacciones y utilidades de paginación.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Puertos e infraestructura inicial.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4.5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auditoría y correlación de solicitudes.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Trazabilidad técnica.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4.6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Configurar OpenAPI/Swagger y documentación viva.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Contrato consultable.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4.7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Configurar pruebas, cobertura, lint, formateo y GitHub Actions.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CI obligatoria en cada cambio.</w:t>
            </w:r>
          </w:p>
        </w:tc>
      </w:tr>
    </w:tbl>
    <w:p>
      <w:pPr>
        <w:spacing w:after="20"/>
      </w:pPr>
    </w:p>
    <w:p>
      <w:pPr>
        <w:pStyle w:val="Heading2"/>
      </w:pPr>
      <w:r>
        <w:t>Fase 5. Productos e inventario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categorías, franquicias, productos y variantes.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CRUD y búsquedas probadas.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códigos automáticos e idempotentes.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Códigos únicos.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almacenes y existencias por variante y lote.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Consulta de stock por almacén.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movimientos de inventario y ajustes autorizados.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Historial completo.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reservas, liberaciones y transferencias entre almacenes.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Operaciones transaccionales.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registro de daño, pérdida, regalo y dinámica.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Salidas especiales.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stock mínimo y evento StockBajo.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Alertas preparadas.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generación de QR y etiquetas.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Etiqueta descargable.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5.9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Ejecutar pruebas concurrentes sobre la última unidad.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Stock negativo imposible.</w:t>
            </w:r>
          </w:p>
        </w:tc>
      </w:tr>
    </w:tbl>
    <w:p>
      <w:pPr>
        <w:spacing w:after="20"/>
      </w:pPr>
    </w:p>
    <w:p>
      <w:pPr>
        <w:pStyle w:val="Heading2"/>
      </w:pPr>
      <w:r>
        <w:t>Fase 6. Clientes y VIP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6.1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ficha, búsqueda y desactivación de clientes.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Gestión de clientes.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6.2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condición VIP e historial de cambios.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VIP auditable.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6.3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límites y plazos como políticas configurables.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Reglas sustituibles.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6.4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historial de morosidad, liberaciones y penalidades.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Vista de riesgo del cliente.</w:t>
            </w:r>
          </w:p>
        </w:tc>
      </w:tr>
    </w:tbl>
    <w:p>
      <w:pPr>
        <w:spacing w:after="20"/>
      </w:pPr>
    </w:p>
    <w:p>
      <w:pPr>
        <w:pStyle w:val="Heading2"/>
      </w:pPr>
      <w:r>
        <w:t>Fase 7. Ventas, reservas y pagos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venta borrador y validación una venta-un cliente.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Creación base.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detalles con varios productos, almacenes, precios y descuentos.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Venta multítem.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confirmación transaccional de venta y reserva de stock.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Venta consistente.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plazos, vencimientos y excepciones de tres semanas/VIP.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Fechas calculadas.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pagos parciales y pagos divididos por medio.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Pagos flexibles.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carga privada de constancias.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Evidencia accesible.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confirmación de pago y generación automática del ingreso.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Sin doble registro.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saldos, estados y eventos PagoConfirmado/PagoVencido.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Cálculo probado.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7.9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Agregar claves de idempotencia en confirmaciones.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Sin duplicados por reintento.</w:t>
            </w:r>
          </w:p>
        </w:tc>
      </w:tr>
    </w:tbl>
    <w:p>
      <w:pPr>
        <w:spacing w:after="20"/>
      </w:pPr>
    </w:p>
    <w:p>
      <w:pPr>
        <w:pStyle w:val="Heading2"/>
      </w:pPr>
      <w:r>
        <w:t>Fase 8. Penalidades y operaciones reversas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8.1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Strategy para penalidad diaria y penalidad por categoría.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Reglas intercambiables.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8.2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cancelación dentro y fuera de 24 horas.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Cálculos probados.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8.3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solicitud y aprobación de liberación.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Doble paso controlado.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8.4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devolución de adelanto conforme a la configuración aprobada.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Flujo financiero completo.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8.5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devoluciones y cambios con movimientos compensatorios.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Historial sin borrado.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8.6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anulación de venta mediante operación compensatoria.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Venta anulada y efectos revertidos.</w:t>
            </w:r>
          </w:p>
        </w:tc>
      </w:tr>
    </w:tbl>
    <w:p>
      <w:pPr>
        <w:spacing w:after="20"/>
      </w:pPr>
    </w:p>
    <w:p>
      <w:pPr>
        <w:pStyle w:val="Heading2"/>
      </w:pPr>
      <w:r>
        <w:t>Fase 9. Boletas y entregas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9.1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registro de boletas por pago.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Varias boletas por venta.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9.2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almacenamiento privado de archivos de boleta.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Archivos protegidos.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9.3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anulación y nota de crédito.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Trazabilidad tributaria manual.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9.4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entregas parciales y detalle de unidades.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No se entrega más de lo vendido.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9.5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agencias, motorizados, seguimiento y costos.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Gestión logística.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9.6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acumulación en almacén.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Productos reservados al cliente.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9.7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recordatorios de lunes y jueves.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Despachos visibles.</w:t>
            </w:r>
          </w:p>
        </w:tc>
      </w:tr>
    </w:tbl>
    <w:p>
      <w:pPr>
        <w:spacing w:after="20"/>
      </w:pPr>
    </w:p>
    <w:p>
      <w:pPr>
        <w:pStyle w:val="Heading2"/>
      </w:pPr>
      <w:r>
        <w:t>Fase 10. Importaciones y costos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proveedores, operadores y catálogos logísticos.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Entidades reutilizables.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importaciones y su máquina de estados.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Flujo logístico probado.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cajas con correlativo propio y contenido.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Trazabilidad por caja.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fechas estimadas, seguimiento y alertas de retraso.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Alertas generadas.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preventas asociadas a unidades esperadas.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Sobreventa de preventa impedida.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recepción, lotes y movimientos de ingreso a stock.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Costo y cantidad por lote.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incidencias y reclamos al seguro.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Faltantes documentados.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10.8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la estrategia de costo unitario cuando el negocio confirme la regla.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Cálculo o captura final validada.</w:t>
            </w:r>
          </w:p>
        </w:tc>
      </w:tr>
    </w:tbl>
    <w:p>
      <w:pPr>
        <w:spacing w:after="20"/>
      </w:pPr>
    </w:p>
    <w:p>
      <w:pPr>
        <w:pStyle w:val="Heading2"/>
      </w:pPr>
      <w:r>
        <w:t>Fase 11. Finanzas y conciliación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cuentas BCP, Scotiabank, Yape y Efectivo.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Saldos por cuenta.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categorías editables e ingresos/gastos manuales.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Libro financiero.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transferencias internas sin impacto en resultado.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Doble movimiento vinculado.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préstamos, cuotas y vencimientos.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Saldo de deuda.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cierre diario de efectivo.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Diferencias registradas.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y validar la plantilla Excel bancaria.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Contrato de importación.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carga, normalización y prevención de duplicados.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Movimientos importados una sola vez.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Specification de coincidencias por fecha e importe.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Sugerencias de conciliación.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11.9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confirmación manual y restricción de conciliación única.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Conciliación segura.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11.10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cálculo de margen por lote, producto y venta.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Reportes de rentabilidad.</w:t>
            </w:r>
          </w:p>
        </w:tc>
      </w:tr>
    </w:tbl>
    <w:p>
      <w:pPr>
        <w:spacing w:after="20"/>
      </w:pPr>
    </w:p>
    <w:p>
      <w:pPr>
        <w:pStyle w:val="Heading2"/>
      </w:pPr>
      <w:r>
        <w:t>Fase 12. Notificaciones, reportes y exportaciones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centro de notificaciones y estados por usuaria.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Bandeja interna.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outbox y procesador de eventos pendientes.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Envío confiable.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adaptador de push y solicitud de permisos.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Push funcional.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adaptador de correo y plantilla de resumen semanal.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Correo configurable.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tareas programadas para vencimientos, tarjeta, SUNAT e importaciones.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Alertas generadas sin acción manual.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panel principal y consultas optimizadas.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Indicadores acordados.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reportes semanales.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Datos consistentes.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12.8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exportadores Excel y PDF mediante Factory.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Archivos verificables.</w:t>
            </w:r>
          </w:p>
        </w:tc>
      </w:tr>
    </w:tbl>
    <w:p>
      <w:pPr>
        <w:spacing w:after="20"/>
      </w:pPr>
    </w:p>
    <w:p>
      <w:pPr>
        <w:pStyle w:val="Heading2"/>
      </w:pPr>
      <w:r>
        <w:t>Fase 13. Frontend y experiencia de usuario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13.1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arquitectura frontend, rutas, estados y permisos.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Base navegable.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13.2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Crear sistema de diseño con tipografía, colores, componentes y estados.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Biblioteca visual.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13.3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Diseñar prototipos de panel, productos, venta rápida, cliente, importación y finanzas.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Prototipos validados.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13.4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autenticación y navegación responsive.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Acceso en móvil y PC.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13.5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pantallas módulo por módulo sobre contratos estables.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Flujos completos.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13.6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formularios con guardado seguro, validación y prevención de doble envío.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Interacción robusta.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13.7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Implementar PWA, caché controlada y actualizaciones de versión.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Instalación funcional.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13.8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Realizar pruebas de usabilidad durante lives, ferias y operación diaria.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Ajustes de velocidad y claridad.</w:t>
            </w:r>
          </w:p>
        </w:tc>
      </w:tr>
    </w:tbl>
    <w:p>
      <w:pPr>
        <w:spacing w:after="20"/>
      </w:pPr>
    </w:p>
    <w:p>
      <w:pPr>
        <w:pStyle w:val="Heading2"/>
      </w:pPr>
      <w:r>
        <w:t>Fase 14. Calidad, seguridad y rendimiento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14.1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Completar pruebas unitarias de todas las políticas y cálculos.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Cobertura crítica.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14.2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Completar pruebas de integración por caso de uso.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Persistencia validada.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14.3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Completar pruebas E2E de escenarios felices y alternativos.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Flujos reales automatizados.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14.4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Ejecutar pruebas concurrentes y de idempotencia.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Sin duplicados ni stock negativo.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14.5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Revisar políticas de seguridad y acceso a archivos.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Auditoría de seguridad.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14.6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Optimizar índices, consultas, paginación y tamaño de archivos.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Rendimiento objetivo.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14.7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Probar recuperación ante errores y operaciones compensatorias.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Datos consistentes tras fallas.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14.8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Ejecutar respaldo y restauración de prueba.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Recuperación verificada.</w:t>
            </w:r>
          </w:p>
        </w:tc>
      </w:tr>
    </w:tbl>
    <w:p>
      <w:pPr>
        <w:spacing w:after="20"/>
      </w:pPr>
    </w:p>
    <w:p>
      <w:pPr>
        <w:pStyle w:val="Heading2"/>
      </w:pPr>
      <w:r>
        <w:t>Fase 15. Despliegue y aceptación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15.1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Crear proyectos de infraestructura y configurar secretos por ambiente.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Ambientes aislados.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15.2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Configurar despliegue automático desde la rama aprobada.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Publicación reproducible.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15.3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Aplicar migraciones y datos iniciales en producción.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Base productiva lista.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15.4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Configurar monitoreo de errores, almacenamiento y cuotas.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Alertas operativas.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15.5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Cargar datos iniciales y validar saldos de apertura.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Información de inicio aprobada.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15.6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Realizar pruebas de aceptación con Lorena y Camila.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Acta de aceptación.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15.7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Capacitar a las administradoras y entregar manual breve.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Usuarias capacitadas.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15.8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Definir periodo de estabilización y canal de incidencias.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Plan de soporte inicial.</w:t>
            </w:r>
          </w:p>
        </w:tc>
      </w:tr>
    </w:tbl>
    <w:p>
      <w:pPr>
        <w:spacing w:after="20"/>
      </w:pPr>
    </w:p>
    <w:p>
      <w:pPr>
        <w:pStyle w:val="Heading2"/>
      </w:pPr>
      <w:r>
        <w:t>Fase 16. Operación y evolución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976"/>
        <w:gridCol w:w="3211"/>
      </w:tblGrid>
      <w:tr>
        <w:trPr>
          <w:tblHeader w:val="true"/>
        </w:trPr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37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/ criterio de salida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16.1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Revisar semanalmente errores, cuotas y notificaciones fallidas durante la estabilización.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Informe de operación.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16.2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Registrar cambios solicitados y realizar análisis de impacto antes de implementarlos.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Solicitud de cambio trazable.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16.3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Actualizar requisitos, ADR, migraciones, pruebas y documentación con cada cambio.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Documentación sincronizada.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16.4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Publicar versiones pequeñas, reversibles y observables.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Riesgo de despliegue reducido.</w:t>
            </w:r>
          </w:p>
        </w:tc>
      </w:tr>
      <w:tr>
        <w:trPr>
          <w:cantSplit w:val="true"/>
        </w:trPr>
        <w:tc>
          <w:tcPr>
            <w:tcW w:type="dxa" w:w="8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16.5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Reevaluar la infraestructura cuando el volumen se acerque a los límites gratuitos.</w:t>
            </w:r>
          </w:p>
        </w:tc>
        <w:tc>
          <w:tcPr>
            <w:tcW w:type="dxa" w:w="3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Plan de capacidad anticipado.</w:t>
            </w:r>
          </w:p>
        </w:tc>
      </w:tr>
    </w:tbl>
    <w:p>
      <w:pPr>
        <w:spacing w:after="20"/>
      </w:pPr>
    </w:p>
    <w:p>
      <w:pPr>
        <w:pStyle w:val="Heading1"/>
      </w:pPr>
      <w:r>
        <w:t>8. Criterios de control de cambios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Toda nueva necesidad debe vincularse con un requisito o solicitud de cambio identificada.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Antes de desarrollar se debe analizar el impacto en dominio, datos, API, interfaz, seguridad, migraciones y pruebas.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Una regla variable debe implementarse mediante configuración, Strategy o Policy antes de introducir condiciones dispersas.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Las transiciones nuevas deben agregarse a la máquina de estados y a sus pruebas.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Las integraciones nuevas deben implementarse mediante puertos y adaptadores.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Todo cambio de base de datos debe incluir migración, retrocompatibilidad y estrategia de datos existentes.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No se publica una versión con pruebas fallidas, migraciones no verificadas o documentación desactualizada.</w:t>
      </w:r>
    </w:p>
    <w:p>
      <w:pPr>
        <w:pStyle w:val="Heading1"/>
      </w:pPr>
      <w:r>
        <w:t>9. Definición de terminado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8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3" w:color="CFC6D8"/>
              <w:left w:val="single" w:sz="18" w:color="0E3A47"/>
              <w:bottom w:val="single" w:sz="3" w:color="CFC6D8"/>
              <w:right w:val="single" w:sz="3" w:color="CFC6D8"/>
            </w:tcBorders>
          </w:tcPr>
          <w:p>
            <w:r>
              <w:rPr>
                <w:rFonts w:ascii="Liberation Sans" w:hAnsi="Liberation Sans" w:eastAsia="Liberation Sans"/>
                <w:b/>
                <w:color w:val="0E3A47"/>
                <w:sz w:val="18"/>
              </w:rPr>
              <w:t>Una actividad se considera terminada cuando</w:t>
            </w:r>
          </w:p>
          <w:p>
            <w:pPr>
              <w:spacing w:before="40" w:after="0" w:line="259" w:lineRule="auto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El código está revisado; las pruebas unitarias e integrales pasan; la documentación y OpenAPI están actualizadas; las migraciones se ejecutan en un entorno limpio; los permisos están verificados; el requisito y su criterio de aceptación pueden demostrarse; y no existen errores críticos conocidos.</w:t>
            </w:r>
          </w:p>
        </w:tc>
      </w:tr>
    </w:tbl>
    <w:p>
      <w:pPr>
        <w:spacing w:after="0"/>
      </w:pPr>
    </w:p>
    <w:p>
      <w:pPr>
        <w:pStyle w:val="Heading1"/>
      </w:pPr>
      <w:r>
        <w:t>10. Entregables internos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784"/>
      </w:tblGrid>
      <w:tr>
        <w:trPr>
          <w:tblHeader w:val="true"/>
        </w:trPr>
        <w:tc>
          <w:tcPr>
            <w:tcW w:type="dxa" w:w="5155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155"/>
            <w:shd w:fill="155E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Entregable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D-01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Especificación de requisitos aprobada.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D-02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Matriz de trazabilidad.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D-03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Mapa de módulos, eventos y estados.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D-04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DER y diccionario de datos.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D-05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ADR y guía de arquitectura.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D-06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Repositorio y CI configurados.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D-07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Backend documentado y probado.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D-08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Frontend/PWA validado.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D-09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Suite de pruebas y reporte de calidad.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D-10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Manual de despliegue, respaldo y recuperación.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D-11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Manual breve de usuario.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D-12</w:t>
            </w:r>
          </w:p>
        </w:tc>
        <w:tc>
          <w:tcPr>
            <w:tcW w:type="dxa" w:w="878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Acta de aceptación y plan de soporte.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93" w:left="965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192"/>
      <w:gridCol w:w="3888"/>
    </w:tblGrid>
    <w:tr>
      <w:tc>
        <w:tcPr>
          <w:tcW w:type="dxa" w:w="504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Liberation Sans" w:hAnsi="Liberation Sans" w:eastAsia="Liberation Sans"/>
              <w:color w:val="667085"/>
              <w:sz w:val="16"/>
            </w:rPr>
            <w:t>Documento de trabajo - Uso autorizado</w:t>
          </w:r>
        </w:p>
      </w:tc>
      <w:tc>
        <w:tcPr>
          <w:tcW w:type="dxa" w:w="504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color w:val="667085"/>
              <w:sz w:val="17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Liberation Sans" w:hAnsi="Liberation Sans" w:eastAsia="Liberation Sans"/>
              <w:color w:val="667085"/>
              <w:sz w:val="17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  <w:pBdr>
        <w:bottom w:val="single" w:sz="6" w:space="2" w:color="155E75"/>
      </w:pBdr>
    </w:pPr>
    <w:r>
      <w:rPr>
        <w:rFonts w:ascii="Liberation Sans" w:hAnsi="Liberation Sans" w:eastAsia="Liberation Sans"/>
        <w:b/>
        <w:color w:val="155E75"/>
        <w:sz w:val="16"/>
      </w:rPr>
      <w:t>PLAN INTERNO DE ARQUITECTURA Y EJECUCIÓN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2530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E3A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55E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55E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E3A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40"/>
    </w:pPr>
    <w:rPr>
      <w:rFonts w:ascii="Liberation Sans" w:hAnsi="Liberation Sans"/>
      <w:color w:val="667085"/>
      <w:sz w:val="16"/>
    </w:rPr>
  </w:style>
  <w:style w:type="paragraph" w:customStyle="1" w:styleId="RequirementText">
    <w:name w:val="Requirement Text"/>
    <w:basedOn w:val="Normal"/>
    <w:pPr>
      <w:spacing w:after="0" w:line="245" w:lineRule="auto"/>
    </w:pPr>
    <w:rPr>
      <w:rFonts w:ascii="Liberation Sans" w:hAnsi="Liberation San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