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60"/>
        <w:jc w:val="center"/>
      </w:pPr>
      <w:r>
        <w:rPr>
          <w:rFonts w:ascii="Times New Roman" w:hAnsi="Times New Roman" w:eastAsia="Times New Roman"/>
          <w:b/>
          <w:sz w:val="36"/>
        </w:rPr>
        <w:t>System Conditions Behind Negative Electricity Prices in High Renewable European Power Markets: A Deep Learning-Based Event Prediction Approach</w:t>
      </w:r>
    </w:p>
    <w:p>
      <w:pPr>
        <w:spacing w:after="240"/>
        <w:jc w:val="center"/>
      </w:pPr>
      <w:r>
        <w:rPr>
          <w:rFonts w:ascii="Times New Roman" w:hAnsi="Times New Roman" w:eastAsia="Times New Roman"/>
          <w:b/>
          <w:sz w:val="28"/>
        </w:rPr>
        <w:t>Experiment Report</w:t>
      </w:r>
    </w:p>
    <w:p>
      <w:pPr>
        <w:spacing w:before="960" w:after="0"/>
        <w:jc w:val="center"/>
      </w:pPr>
      <w:r>
        <w:rPr>
          <w:rFonts w:ascii="Times New Roman" w:hAnsi="Times New Roman" w:eastAsia="Times New Roman"/>
          <w:sz w:val="24"/>
        </w:rPr>
        <w:t>Course Paper Draft</w:t>
        <w:br/>
        <w:t>April 2026</w:t>
      </w:r>
    </w:p>
    <w:p>
      <w:r>
        <w:br w:type="page"/>
      </w:r>
    </w:p>
    <w:p>
      <w:pPr>
        <w:pStyle w:val="Heading1"/>
      </w:pPr>
      <w:r>
        <w:t>Abstract</w:t>
      </w:r>
    </w:p>
    <w:p>
      <w:pPr>
        <w:ind w:firstLine="0"/>
        <w:jc w:val="both"/>
      </w:pPr>
      <w:r>
        <w:t>This report summarizes the full experimental program for future negative electricity price event prediction in European power markets. The project formulates the problem as leakage-free future event classification: for each anchor time t, the model observes only historical information up to t and predicts whether the price at t + h is negative. The final matched benchmark task uses a 168-hour rolling window, a 6-hour forecast horizon, a 20-country public-feature setting, and chronological train-validation-test splits. The experiment program compared simple machine-learning baselines, deep temporal encoders, hybrid multi-market deep models, and several fusion and meta-learning strategies. The strongest standalone classical baseline became E43 CatBoost with test PR-AUC = 0.4147, while the strongest stable standalone deep model became E49 GRUMultiMarket with repeated-seed mean test PR-AUC = 0.3867. Later score-ceiling work produced E75 as the best reusable pure-meta reference at test PR-AUC = 0.4323, and final new-member generation produced E78 as a mechanism-aware CatBoost model with test PR-AUC = 0.4296. The strongest overall result is E81, a forced late fusion between E75 and E78, which reaches test PR-AUC = 0.4388. Taken together, the experiments show that standalone deep models did not surpass the best standalone tree models on this task, but they did add complementary signal that improved the final fused benchmark.</w:t>
      </w:r>
    </w:p>
    <w:p>
      <w:pPr>
        <w:pStyle w:val="Heading1"/>
      </w:pPr>
      <w:r>
        <w:t>Keywords</w:t>
      </w:r>
    </w:p>
    <w:p>
      <w:pPr>
        <w:ind w:firstLine="0"/>
        <w:jc w:val="both"/>
      </w:pPr>
      <w:r>
        <w:t>negative electricity prices; event prediction; European power markets; deep learning; CatBoost; late fusion</w:t>
      </w:r>
    </w:p>
    <w:p>
      <w:pPr>
        <w:pStyle w:val="Heading1"/>
      </w:pPr>
      <w:r>
        <w:t>Introduction</w:t>
      </w:r>
    </w:p>
    <w:p>
      <w:pPr>
        <w:ind w:firstLine="420"/>
        <w:jc w:val="both"/>
      </w:pPr>
      <w:r>
        <w:t>Negative electricity prices have become an increasingly visible phenomenon in European power markets, especially in the period after 2020 as renewable penetration, transmission constraints, and cross-border balancing pressures intensified. The phenomenon reflects more than high renewable output alone. It also reveals low-demand conditions, flexibility limits, and the uneven ability of neighboring systems to absorb excess supply. For that reason, negative pricing is best interpreted as a system-state problem rather than as a univariate price anomaly.</w:t>
      </w:r>
    </w:p>
    <w:p>
      <w:pPr>
        <w:ind w:firstLine="420"/>
        <w:jc w:val="both"/>
      </w:pPr>
      <w:r>
        <w:t>This project therefore studies negative pricing as a future event prediction task rather than as plain price regression or same-time description. At each anchor time t, the model is given a rolling historical window of system conditions and must estimate whether a negative-price event will occur at a future target hour t + h. This framing aligns the research objective with practical forecasting, preserves temporal causality, and allows direct comparison between manually engineered tabular baselines and learned temporal representations.</w:t>
      </w:r>
    </w:p>
    <w:p>
      <w:pPr>
        <w:ind w:firstLine="420"/>
        <w:jc w:val="both"/>
      </w:pPr>
      <w:r>
        <w:t>Three research questions organize the experiment program. First, under what combinations of price, load, weather, generation-related conditions, and cross-border structure do future negative-price events emerge? Second, can deep temporal encoders learn system-state representations that improve future event prediction? Third, do learned multivariate temporal representations outperform manually engineered machine-learning features once the task is defined in a leakage-free and chronologically consistent way?</w:t>
      </w:r>
    </w:p>
    <w:p>
      <w:pPr>
        <w:pStyle w:val="Heading1"/>
      </w:pPr>
      <w:r>
        <w:t>Data and Problem Formulation</w:t>
      </w:r>
    </w:p>
    <w:p>
      <w:pPr>
        <w:ind w:firstLine="420"/>
        <w:jc w:val="both"/>
      </w:pPr>
      <w:r>
        <w:t>The dataset integrates multiple public sources. Electricity price and generation-related market information come from a Kaggle-based European electricity panel. Demand and cross-border system information come from the ENTSO-E Transparency Platform. Weather variables come from Copernicus ERA5, and temporal context variables such as weekend and legal-holiday indicators are derived in preprocessing. Table 1 summarizes the main data categories and their modeling role.</w:t>
      </w:r>
    </w:p>
    <w:p>
      <w:pPr>
        <w:jc w:val="center"/>
      </w:pPr>
      <w:r>
        <w:rPr>
          <w:rFonts w:ascii="Times New Roman" w:hAnsi="Times New Roman" w:eastAsia="Times New Roman"/>
          <w:b/>
          <w:sz w:val="22"/>
        </w:rPr>
        <w:t>Table 1. Data sources and variable categories.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
              <w:rPr>
                <w:rFonts w:ascii="Times New Roman" w:hAnsi="Times New Roman" w:eastAsia="Times New Roman"/>
                <w:b/>
                <w:sz w:val="19"/>
              </w:rPr>
              <w:t>Source</w:t>
            </w:r>
          </w:p>
        </w:tc>
        <w:tc>
          <w:tcPr>
            <w:tcW w:type="dxa" w:w="2256"/>
            <w:vAlign w:val="center"/>
          </w:tcPr>
          <w:p>
            <w:pPr>
              <w:jc w:val="center"/>
            </w:pPr>
            <w:r/>
            <w:r>
              <w:rPr>
                <w:rFonts w:ascii="Times New Roman" w:hAnsi="Times New Roman" w:eastAsia="Times New Roman"/>
                <w:b/>
                <w:sz w:val="19"/>
              </w:rPr>
              <w:t>Category</w:t>
            </w:r>
          </w:p>
        </w:tc>
        <w:tc>
          <w:tcPr>
            <w:tcW w:type="dxa" w:w="2256"/>
            <w:vAlign w:val="center"/>
          </w:tcPr>
          <w:p>
            <w:pPr>
              <w:jc w:val="center"/>
            </w:pPr>
            <w:r/>
            <w:r>
              <w:rPr>
                <w:rFonts w:ascii="Times New Roman" w:hAnsi="Times New Roman" w:eastAsia="Times New Roman"/>
                <w:b/>
                <w:sz w:val="19"/>
              </w:rPr>
              <w:t>Representative Variables</w:t>
            </w:r>
          </w:p>
        </w:tc>
        <w:tc>
          <w:tcPr>
            <w:tcW w:type="dxa" w:w="2256"/>
            <w:vAlign w:val="center"/>
          </w:tcPr>
          <w:p>
            <w:pPr>
              <w:jc w:val="center"/>
            </w:pPr>
            <w:r/>
            <w:r>
              <w:rPr>
                <w:rFonts w:ascii="Times New Roman" w:hAnsi="Times New Roman" w:eastAsia="Times New Roman"/>
                <w:b/>
                <w:sz w:val="19"/>
              </w:rPr>
              <w:t>Modeling Role</w:t>
            </w:r>
          </w:p>
        </w:tc>
      </w:tr>
      <w:tr>
        <w:tc>
          <w:tcPr>
            <w:tcW w:type="dxa" w:w="2256"/>
            <w:vAlign w:val="center"/>
          </w:tcPr>
          <w:p>
            <w:pPr>
              <w:jc w:val="left"/>
            </w:pPr>
            <w:r/>
            <w:r>
              <w:rPr>
                <w:rFonts w:ascii="Times New Roman" w:hAnsi="Times New Roman" w:eastAsia="Times New Roman"/>
                <w:b w:val="0"/>
                <w:sz w:val="19"/>
              </w:rPr>
              <w:t>Kaggle electricity market data</w:t>
            </w:r>
          </w:p>
        </w:tc>
        <w:tc>
          <w:tcPr>
            <w:tcW w:type="dxa" w:w="2256"/>
            <w:vAlign w:val="center"/>
          </w:tcPr>
          <w:p>
            <w:pPr>
              <w:jc w:val="left"/>
            </w:pPr>
            <w:r/>
            <w:r>
              <w:rPr>
                <w:rFonts w:ascii="Times New Roman" w:hAnsi="Times New Roman" w:eastAsia="Times New Roman"/>
                <w:b w:val="0"/>
                <w:sz w:val="19"/>
              </w:rPr>
              <w:t>Price and market generation context</w:t>
            </w:r>
          </w:p>
        </w:tc>
        <w:tc>
          <w:tcPr>
            <w:tcW w:type="dxa" w:w="2256"/>
            <w:vAlign w:val="center"/>
          </w:tcPr>
          <w:p>
            <w:pPr>
              <w:jc w:val="left"/>
            </w:pPr>
            <w:r/>
            <w:r>
              <w:rPr>
                <w:rFonts w:ascii="Times New Roman" w:hAnsi="Times New Roman" w:eastAsia="Times New Roman"/>
                <w:b w:val="0"/>
                <w:sz w:val="19"/>
              </w:rPr>
              <w:t>price and market-level operational variables</w:t>
            </w:r>
          </w:p>
        </w:tc>
        <w:tc>
          <w:tcPr>
            <w:tcW w:type="dxa" w:w="2256"/>
            <w:vAlign w:val="center"/>
          </w:tcPr>
          <w:p>
            <w:pPr>
              <w:jc w:val="left"/>
            </w:pPr>
            <w:r/>
            <w:r>
              <w:rPr>
                <w:rFonts w:ascii="Times New Roman" w:hAnsi="Times New Roman" w:eastAsia="Times New Roman"/>
                <w:b w:val="0"/>
                <w:sz w:val="19"/>
              </w:rPr>
              <w:t>Construct the future negative-price label and provide core market context.</w:t>
            </w:r>
          </w:p>
        </w:tc>
      </w:tr>
      <w:tr>
        <w:tc>
          <w:tcPr>
            <w:tcW w:type="dxa" w:w="2256"/>
            <w:vAlign w:val="center"/>
          </w:tcPr>
          <w:p>
            <w:pPr>
              <w:jc w:val="left"/>
            </w:pPr>
            <w:r/>
            <w:r>
              <w:rPr>
                <w:rFonts w:ascii="Times New Roman" w:hAnsi="Times New Roman" w:eastAsia="Times New Roman"/>
                <w:b w:val="0"/>
                <w:sz w:val="19"/>
              </w:rPr>
              <w:t>ENTSO-E Transparency Platform</w:t>
            </w:r>
          </w:p>
        </w:tc>
        <w:tc>
          <w:tcPr>
            <w:tcW w:type="dxa" w:w="2256"/>
            <w:vAlign w:val="center"/>
          </w:tcPr>
          <w:p>
            <w:pPr>
              <w:jc w:val="left"/>
            </w:pPr>
            <w:r/>
            <w:r>
              <w:rPr>
                <w:rFonts w:ascii="Times New Roman" w:hAnsi="Times New Roman" w:eastAsia="Times New Roman"/>
                <w:b w:val="0"/>
                <w:sz w:val="19"/>
              </w:rPr>
              <w:t>Demand and cross-border system variables</w:t>
            </w:r>
          </w:p>
        </w:tc>
        <w:tc>
          <w:tcPr>
            <w:tcW w:type="dxa" w:w="2256"/>
            <w:vAlign w:val="center"/>
          </w:tcPr>
          <w:p>
            <w:pPr>
              <w:jc w:val="left"/>
            </w:pPr>
            <w:r/>
            <w:r>
              <w:rPr>
                <w:rFonts w:ascii="Times New Roman" w:hAnsi="Times New Roman" w:eastAsia="Times New Roman"/>
                <w:b w:val="0"/>
                <w:sz w:val="19"/>
              </w:rPr>
              <w:t>load, total export, total import</w:t>
            </w:r>
          </w:p>
        </w:tc>
        <w:tc>
          <w:tcPr>
            <w:tcW w:type="dxa" w:w="2256"/>
            <w:vAlign w:val="center"/>
          </w:tcPr>
          <w:p>
            <w:pPr>
              <w:jc w:val="left"/>
            </w:pPr>
            <w:r/>
            <w:r>
              <w:rPr>
                <w:rFonts w:ascii="Times New Roman" w:hAnsi="Times New Roman" w:eastAsia="Times New Roman"/>
                <w:b w:val="0"/>
                <w:sz w:val="19"/>
              </w:rPr>
              <w:t>Represent balance conditions, system stress, and transfer constraints.</w:t>
            </w:r>
          </w:p>
        </w:tc>
      </w:tr>
      <w:tr>
        <w:tc>
          <w:tcPr>
            <w:tcW w:type="dxa" w:w="2256"/>
            <w:vAlign w:val="center"/>
          </w:tcPr>
          <w:p>
            <w:pPr>
              <w:jc w:val="left"/>
            </w:pPr>
            <w:r/>
            <w:r>
              <w:rPr>
                <w:rFonts w:ascii="Times New Roman" w:hAnsi="Times New Roman" w:eastAsia="Times New Roman"/>
                <w:b w:val="0"/>
                <w:sz w:val="19"/>
              </w:rPr>
              <w:t>ERA5 weather reanalysis</w:t>
            </w:r>
          </w:p>
        </w:tc>
        <w:tc>
          <w:tcPr>
            <w:tcW w:type="dxa" w:w="2256"/>
            <w:vAlign w:val="center"/>
          </w:tcPr>
          <w:p>
            <w:pPr>
              <w:jc w:val="left"/>
            </w:pPr>
            <w:r/>
            <w:r>
              <w:rPr>
                <w:rFonts w:ascii="Times New Roman" w:hAnsi="Times New Roman" w:eastAsia="Times New Roman"/>
                <w:b w:val="0"/>
                <w:sz w:val="19"/>
              </w:rPr>
              <w:t>Meteorological drivers</w:t>
            </w:r>
          </w:p>
        </w:tc>
        <w:tc>
          <w:tcPr>
            <w:tcW w:type="dxa" w:w="2256"/>
            <w:vAlign w:val="center"/>
          </w:tcPr>
          <w:p>
            <w:pPr>
              <w:jc w:val="left"/>
            </w:pPr>
            <w:r/>
            <w:r>
              <w:rPr>
                <w:rFonts w:ascii="Times New Roman" w:hAnsi="Times New Roman" w:eastAsia="Times New Roman"/>
                <w:b w:val="0"/>
                <w:sz w:val="19"/>
              </w:rPr>
              <w:t>temperature, wind speed, shortwave radiation, cloud cover, precipitation, pressure</w:t>
            </w:r>
          </w:p>
        </w:tc>
        <w:tc>
          <w:tcPr>
            <w:tcW w:type="dxa" w:w="2256"/>
            <w:vAlign w:val="center"/>
          </w:tcPr>
          <w:p>
            <w:pPr>
              <w:jc w:val="left"/>
            </w:pPr>
            <w:r/>
            <w:r>
              <w:rPr>
                <w:rFonts w:ascii="Times New Roman" w:hAnsi="Times New Roman" w:eastAsia="Times New Roman"/>
                <w:b w:val="0"/>
                <w:sz w:val="19"/>
              </w:rPr>
              <w:t>Capture exogenous conditions affecting renewable output and demand patterns.</w:t>
            </w:r>
          </w:p>
        </w:tc>
      </w:tr>
      <w:tr>
        <w:tc>
          <w:tcPr>
            <w:tcW w:type="dxa" w:w="2256"/>
            <w:vAlign w:val="center"/>
          </w:tcPr>
          <w:p>
            <w:pPr>
              <w:jc w:val="left"/>
            </w:pPr>
            <w:r/>
            <w:r>
              <w:rPr>
                <w:rFonts w:ascii="Times New Roman" w:hAnsi="Times New Roman" w:eastAsia="Times New Roman"/>
                <w:b w:val="0"/>
                <w:sz w:val="19"/>
              </w:rPr>
              <w:t>Derived calendar and institutional features</w:t>
            </w:r>
          </w:p>
        </w:tc>
        <w:tc>
          <w:tcPr>
            <w:tcW w:type="dxa" w:w="2256"/>
            <w:vAlign w:val="center"/>
          </w:tcPr>
          <w:p>
            <w:pPr>
              <w:jc w:val="left"/>
            </w:pPr>
            <w:r/>
            <w:r>
              <w:rPr>
                <w:rFonts w:ascii="Times New Roman" w:hAnsi="Times New Roman" w:eastAsia="Times New Roman"/>
                <w:b w:val="0"/>
                <w:sz w:val="19"/>
              </w:rPr>
              <w:t>Temporal and institutional context</w:t>
            </w:r>
          </w:p>
        </w:tc>
        <w:tc>
          <w:tcPr>
            <w:tcW w:type="dxa" w:w="2256"/>
            <w:vAlign w:val="center"/>
          </w:tcPr>
          <w:p>
            <w:pPr>
              <w:jc w:val="left"/>
            </w:pPr>
            <w:r/>
            <w:r>
              <w:rPr>
                <w:rFonts w:ascii="Times New Roman" w:hAnsi="Times New Roman" w:eastAsia="Times New Roman"/>
                <w:b w:val="0"/>
                <w:sz w:val="19"/>
              </w:rPr>
              <w:t>hour, month, weekend flag, holiday flag</w:t>
            </w:r>
          </w:p>
        </w:tc>
        <w:tc>
          <w:tcPr>
            <w:tcW w:type="dxa" w:w="2256"/>
            <w:vAlign w:val="center"/>
          </w:tcPr>
          <w:p>
            <w:pPr>
              <w:jc w:val="left"/>
            </w:pPr>
            <w:r/>
            <w:r>
              <w:rPr>
                <w:rFonts w:ascii="Times New Roman" w:hAnsi="Times New Roman" w:eastAsia="Times New Roman"/>
                <w:b w:val="0"/>
                <w:sz w:val="19"/>
              </w:rPr>
              <w:t>Represent recurring demand regimes and low-load institutional periods.</w:t>
            </w:r>
          </w:p>
        </w:tc>
      </w:tr>
    </w:tbl>
    <w:p/>
    <w:p>
      <w:pPr>
        <w:ind w:firstLine="420"/>
        <w:jc w:val="both"/>
      </w:pPr>
      <w:r>
        <w:t>The fixed project definition is future event classification. For each eligible anchor time t, the input contains only observations available up to t, organized as a rolling historical window. The main benchmark task uses a 168-hour window and predicts whether the electricity price at t + 6 hours is negative. The binary label is therefore y_(t+6) = 1 if the future target-hour price is below zero and 0 otherwise. Chronological train-validation-test splits preserve temporal ordering and prevent leakage from future values.</w:t>
      </w:r>
    </w:p>
    <w:p>
      <w:pPr>
        <w:ind w:firstLine="420"/>
        <w:jc w:val="both"/>
      </w:pPr>
      <w:r>
        <w:t>The final matched benchmark comparison in this report uses the common task definition 20-country + public + window=168 + h=6. The public feature group includes price, load, six weather variables, and calendar context such as weekend and holiday flags. Richer renewables and cross-border flow features were explored in auxiliary branches, but they were not used to define the main final benchmark table because the project needed one fair comparison set shared by classical, deep, and fusion models. On the final matched test set, the benchmark task contains 78,735 samples with 1,443 positive future negative-price events, which makes class imbalance a central evaluation concern.</w:t>
      </w:r>
    </w:p>
    <w:p>
      <w:pPr>
        <w:pStyle w:val="Heading1"/>
      </w:pPr>
      <w:r>
        <w:t>Methodology</w:t>
      </w:r>
    </w:p>
    <w:p>
      <w:pPr>
        <w:ind w:firstLine="420"/>
        <w:jc w:val="both"/>
      </w:pPr>
      <w:r>
        <w:t>The methodology deliberately separated problem definition from model family choice. The core pipeline is past window to temporal encoder to classifier to future negative-price event probability. This allowed the project to begin with leakage-free baselines before adding modeling complexity, rather than assuming that a specific deep architecture would necessarily be optimal.</w:t>
      </w:r>
    </w:p>
    <w:p>
      <w:pPr>
        <w:ind w:firstLine="420"/>
        <w:jc w:val="both"/>
      </w:pPr>
      <w:r>
        <w:t>Classical baselines used tabular lagged and rolling-statistical summaries of the main task window. The matched final baseline family consists of LogisticRegression, XGBoost, CatBoost, and LightGBM. These models provided an interpretable and competitive reference for what could be achieved through engineered tabular features under the same benchmark task.</w:t>
      </w:r>
    </w:p>
    <w:p>
      <w:pPr>
        <w:ind w:firstLine="420"/>
        <w:jc w:val="both"/>
      </w:pPr>
      <w:r>
        <w:t>Deep-learning experiments progressed from GRU-based encoders to hybrid sequence models and eventually to GRUMultiMarket, which jointly encoded the target market and a shared multi-market context. The project also tested richer feature groups, gating variants, attention replacements, graph-inspired variants, and mechanism-aware extensions. The role of the deep models was not merely to fit nonlinear decision boundaries, but to learn latent system-state representations directly from multivariate temporal evolution.</w:t>
      </w:r>
    </w:p>
    <w:p>
      <w:pPr>
        <w:ind w:firstLine="420"/>
        <w:jc w:val="both"/>
      </w:pPr>
      <w:r>
        <w:t>Fusion and meta-model families formed the final methodological layer. Weighted late fusion used validation PR-AUC to combine member probabilities, while stacking treated the outputs of strong component models as inputs to a second-stage learner. These fusion experiments became important once it was clear that the best deep standalone model and the best tree-based models captured partially different signals.</w:t>
      </w:r>
    </w:p>
    <w:p>
      <w:pPr>
        <w:ind w:firstLine="420"/>
        <w:jc w:val="both"/>
      </w:pPr>
      <w:r>
        <w:t>Evaluation emphasized PR-AUC as the primary metric because the target class is relatively rare and because the project cared about ranking future negative-price risk under imbalance. ROC-AUC, precision, recall, and F1-score were also reported. Repeated-seed checks were used when a deep-learning result looked promising enough to justify a stronger robustness claim.</w:t>
      </w:r>
    </w:p>
    <w:p>
      <w:pPr>
        <w:pStyle w:val="Heading1"/>
      </w:pPr>
      <w:r>
        <w:t>Experimental Progression and Results</w:t>
      </w:r>
    </w:p>
    <w:p>
      <w:pPr>
        <w:ind w:firstLine="420"/>
        <w:jc w:val="both"/>
      </w:pPr>
      <w:r>
        <w:t>The complete experiment program can be summarized as four phases. The goal here is not to list every run in repository order, but to explain how the benchmark evolved and why the final result became E81.</w:t>
      </w:r>
    </w:p>
    <w:p>
      <w:pPr>
        <w:pStyle w:val="Heading2"/>
      </w:pPr>
      <w:r>
        <w:t>Phase 1: Early deep-learning and richer-feature exploration</w:t>
      </w:r>
    </w:p>
    <w:p>
      <w:pPr>
        <w:ind w:firstLine="420"/>
        <w:jc w:val="both"/>
      </w:pPr>
      <w:r>
        <w:t>The early phase established the forecasting framing and then searched for a viable deep backbone under leakage-free chronological splits. This stage covered early GRU and TCN comparisons, richer-feature subset tests, and the first hybrid designs. The main practical outcome was that deep modeling had value, but the strongest early gains did not yet come from large architectural novelty. Instead, the best result of the early deep stage was E35, a late fusion over the strongest single-market deep branches, with test PR-AUC = 0.3691. This phase established that deep models could become competitive, but they still did not yet challenge the best classical single-model baselines.</w:t>
      </w:r>
    </w:p>
    <w:p>
      <w:pPr>
        <w:pStyle w:val="Heading2"/>
      </w:pPr>
      <w:r>
        <w:t>Phase 2: Hybrid and multi-market deep-learning development</w:t>
      </w:r>
    </w:p>
    <w:p>
      <w:pPr>
        <w:ind w:firstLine="420"/>
        <w:jc w:val="both"/>
      </w:pPr>
      <w:r>
        <w:t>The second phase shifted attention from single-market refinements to explicit multi-market sequence modeling. That move produced the first strong and stable standalone deep result: E49, the repeated-seed version of GRUMultiMarket. E49 reached repeated-seed mean test PR-AUC = 0.3867 with very low dispersion, which made it the most defensible standalone deep-learning reference in the project. This phase was important because it showed that multi-market context was a more valuable deep-learning direction than the first attention or graph replacements, many of which later underperformed the simpler multi-market encoder.</w:t>
      </w:r>
    </w:p>
    <w:p>
      <w:pPr>
        <w:pStyle w:val="Heading2"/>
      </w:pPr>
      <w:r>
        <w:t>Phase 3: Classical baseline completion and score-ceiling fusion</w:t>
      </w:r>
    </w:p>
    <w:p>
      <w:pPr>
        <w:ind w:firstLine="420"/>
        <w:jc w:val="both"/>
      </w:pPr>
      <w:r>
        <w:t>Once the project completed the matched classical baselines E41-E44, the benchmark picture became much clearer. LogisticRegression was a weak but useful floor, while XGBoost, CatBoost, and LightGBM formed a very strong tree-based baseline group. The strongest standalone classical models, E43 and E44, both exceeded the best standalone deep score. This meant that further progress would likely come not from small standalone deep tweaks, but from exploiting complementarity between the deep representation and the strong classical learners.</w:t>
      </w:r>
    </w:p>
    <w:p>
      <w:pPr>
        <w:ind w:firstLine="420"/>
        <w:jc w:val="both"/>
      </w:pPr>
      <w:r>
        <w:t>That hypothesis was confirmed by fusion and stacking experiments. Simple deep-plus-tree fusions such as E56 and E58 outperformed their component models, and later nonlinear stacking reached E75 with test PR-AUC = 0.4323. E75 became the strongest reusable pure-meta reference. However, by this stage the no-retrain meta line had already started approaching a ceiling, because several increasingly complex meta variants delivered only tiny incremental gains over one another.</w:t>
      </w:r>
    </w:p>
    <w:p>
      <w:pPr>
        <w:pStyle w:val="Heading2"/>
      </w:pPr>
      <w:r>
        <w:t>Phase 4: Final new-member generation and closeout fusion through E81</w:t>
      </w:r>
    </w:p>
    <w:p>
      <w:pPr>
        <w:ind w:firstLine="420"/>
        <w:jc w:val="both"/>
      </w:pPr>
      <w:r>
        <w:t>The final phase therefore focused on generating a genuinely new strong member that could still complement the best meta ceiling. Mechanism-aware tree models were tested, and E78 emerged as the clear success case. It reached test PR-AUC = 0.4296, which was far stronger than the failed deep mechanism-channel variant E79 and close to the overall best pure-meta benchmark. An automatic best-member wrapper, E80, overfit validation selection and chose the wrong member, so it was not retained as a positive result.</w:t>
      </w:r>
    </w:p>
    <w:p>
      <w:pPr>
        <w:ind w:firstLine="420"/>
        <w:jc w:val="both"/>
      </w:pPr>
      <w:r>
        <w:t>The closeout question was then answered directly by E81, a forced late fusion between E75 and E78. This experiment required no new base-model training, reused finished artifacts, and delivered the strongest final result in the project: test PR-AUC = 0.4388. The result confirmed that E78 contributed genuinely useful new signal to the strongest existing meta reference, and that the failure of E80 came from candidate selection error rather than from a lack of complementarity.</w:t>
      </w:r>
    </w:p>
    <w:p>
      <w:pPr>
        <w:jc w:val="center"/>
      </w:pPr>
      <w:r>
        <w:rPr>
          <w:rFonts w:ascii="Times New Roman" w:hAnsi="Times New Roman" w:eastAsia="Times New Roman"/>
          <w:b/>
          <w:sz w:val="22"/>
        </w:rPr>
        <w:t>Table 2. Matched main-task benchmark comparison on the common 20-country + public + window=168 + h=6 task.</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vAlign w:val="center"/>
          </w:tcPr>
          <w:p>
            <w:pPr>
              <w:jc w:val="center"/>
            </w:pPr>
            <w:r/>
            <w:r>
              <w:rPr>
                <w:rFonts w:ascii="Times New Roman" w:hAnsi="Times New Roman" w:eastAsia="Times New Roman"/>
                <w:b/>
                <w:sz w:val="19"/>
              </w:rPr>
              <w:t>Experiment</w:t>
            </w:r>
          </w:p>
        </w:tc>
        <w:tc>
          <w:tcPr>
            <w:tcW w:type="dxa" w:w="1128"/>
            <w:vAlign w:val="center"/>
          </w:tcPr>
          <w:p>
            <w:pPr>
              <w:jc w:val="center"/>
            </w:pPr>
            <w:r/>
            <w:r>
              <w:rPr>
                <w:rFonts w:ascii="Times New Roman" w:hAnsi="Times New Roman" w:eastAsia="Times New Roman"/>
                <w:b/>
                <w:sz w:val="19"/>
              </w:rPr>
              <w:t>Model Family</w:t>
            </w:r>
          </w:p>
        </w:tc>
        <w:tc>
          <w:tcPr>
            <w:tcW w:type="dxa" w:w="1128"/>
            <w:vAlign w:val="center"/>
          </w:tcPr>
          <w:p>
            <w:pPr>
              <w:jc w:val="center"/>
            </w:pPr>
            <w:r/>
            <w:r>
              <w:rPr>
                <w:rFonts w:ascii="Times New Roman" w:hAnsi="Times New Roman" w:eastAsia="Times New Roman"/>
                <w:b/>
                <w:sz w:val="19"/>
              </w:rPr>
              <w:t>Task Role</w:t>
            </w:r>
          </w:p>
        </w:tc>
        <w:tc>
          <w:tcPr>
            <w:tcW w:type="dxa" w:w="1128"/>
            <w:vAlign w:val="center"/>
          </w:tcPr>
          <w:p>
            <w:pPr>
              <w:jc w:val="center"/>
            </w:pPr>
            <w:r/>
            <w:r>
              <w:rPr>
                <w:rFonts w:ascii="Times New Roman" w:hAnsi="Times New Roman" w:eastAsia="Times New Roman"/>
                <w:b/>
                <w:sz w:val="19"/>
              </w:rPr>
              <w:t>PR-AUC</w:t>
            </w:r>
          </w:p>
        </w:tc>
        <w:tc>
          <w:tcPr>
            <w:tcW w:type="dxa" w:w="1128"/>
            <w:vAlign w:val="center"/>
          </w:tcPr>
          <w:p>
            <w:pPr>
              <w:jc w:val="center"/>
            </w:pPr>
            <w:r/>
            <w:r>
              <w:rPr>
                <w:rFonts w:ascii="Times New Roman" w:hAnsi="Times New Roman" w:eastAsia="Times New Roman"/>
                <w:b/>
                <w:sz w:val="19"/>
              </w:rPr>
              <w:t>ROC-AUC</w:t>
            </w:r>
          </w:p>
        </w:tc>
        <w:tc>
          <w:tcPr>
            <w:tcW w:type="dxa" w:w="1128"/>
            <w:vAlign w:val="center"/>
          </w:tcPr>
          <w:p>
            <w:pPr>
              <w:jc w:val="center"/>
            </w:pPr>
            <w:r/>
            <w:r>
              <w:rPr>
                <w:rFonts w:ascii="Times New Roman" w:hAnsi="Times New Roman" w:eastAsia="Times New Roman"/>
                <w:b/>
                <w:sz w:val="19"/>
              </w:rPr>
              <w:t>Precision</w:t>
            </w:r>
          </w:p>
        </w:tc>
        <w:tc>
          <w:tcPr>
            <w:tcW w:type="dxa" w:w="1128"/>
            <w:vAlign w:val="center"/>
          </w:tcPr>
          <w:p>
            <w:pPr>
              <w:jc w:val="center"/>
            </w:pPr>
            <w:r/>
            <w:r>
              <w:rPr>
                <w:rFonts w:ascii="Times New Roman" w:hAnsi="Times New Roman" w:eastAsia="Times New Roman"/>
                <w:b/>
                <w:sz w:val="19"/>
              </w:rPr>
              <w:t>Recall</w:t>
            </w:r>
          </w:p>
        </w:tc>
        <w:tc>
          <w:tcPr>
            <w:tcW w:type="dxa" w:w="1128"/>
            <w:vAlign w:val="center"/>
          </w:tcPr>
          <w:p>
            <w:pPr>
              <w:jc w:val="center"/>
            </w:pPr>
            <w:r/>
            <w:r>
              <w:rPr>
                <w:rFonts w:ascii="Times New Roman" w:hAnsi="Times New Roman" w:eastAsia="Times New Roman"/>
                <w:b/>
                <w:sz w:val="19"/>
              </w:rPr>
              <w:t>F1</w:t>
            </w:r>
          </w:p>
        </w:tc>
      </w:tr>
      <w:tr>
        <w:tc>
          <w:tcPr>
            <w:tcW w:type="dxa" w:w="1128"/>
            <w:vAlign w:val="center"/>
          </w:tcPr>
          <w:p>
            <w:pPr>
              <w:jc w:val="left"/>
            </w:pPr>
            <w:r/>
            <w:r>
              <w:rPr>
                <w:rFonts w:ascii="Times New Roman" w:hAnsi="Times New Roman" w:eastAsia="Times New Roman"/>
                <w:b w:val="0"/>
                <w:sz w:val="19"/>
              </w:rPr>
              <w:t>E41</w:t>
            </w:r>
          </w:p>
        </w:tc>
        <w:tc>
          <w:tcPr>
            <w:tcW w:type="dxa" w:w="1128"/>
            <w:vAlign w:val="center"/>
          </w:tcPr>
          <w:p>
            <w:pPr>
              <w:jc w:val="left"/>
            </w:pPr>
            <w:r/>
            <w:r>
              <w:rPr>
                <w:rFonts w:ascii="Times New Roman" w:hAnsi="Times New Roman" w:eastAsia="Times New Roman"/>
                <w:b w:val="0"/>
                <w:sz w:val="19"/>
              </w:rPr>
              <w:t>Logistic regression</w:t>
            </w:r>
          </w:p>
        </w:tc>
        <w:tc>
          <w:tcPr>
            <w:tcW w:type="dxa" w:w="1128"/>
            <w:vAlign w:val="center"/>
          </w:tcPr>
          <w:p>
            <w:pPr>
              <w:jc w:val="left"/>
            </w:pPr>
            <w:r/>
            <w:r>
              <w:rPr>
                <w:rFonts w:ascii="Times New Roman" w:hAnsi="Times New Roman" w:eastAsia="Times New Roman"/>
                <w:b w:val="0"/>
                <w:sz w:val="19"/>
              </w:rPr>
              <w:t>Simple classical baseline</w:t>
            </w:r>
          </w:p>
        </w:tc>
        <w:tc>
          <w:tcPr>
            <w:tcW w:type="dxa" w:w="1128"/>
            <w:vAlign w:val="center"/>
          </w:tcPr>
          <w:p>
            <w:pPr>
              <w:jc w:val="center"/>
            </w:pPr>
            <w:r/>
            <w:r>
              <w:rPr>
                <w:rFonts w:ascii="Times New Roman" w:hAnsi="Times New Roman" w:eastAsia="Times New Roman"/>
                <w:b w:val="0"/>
                <w:sz w:val="19"/>
              </w:rPr>
              <w:t>0.2528</w:t>
            </w:r>
          </w:p>
        </w:tc>
        <w:tc>
          <w:tcPr>
            <w:tcW w:type="dxa" w:w="1128"/>
            <w:vAlign w:val="center"/>
          </w:tcPr>
          <w:p>
            <w:pPr>
              <w:jc w:val="center"/>
            </w:pPr>
            <w:r/>
            <w:r>
              <w:rPr>
                <w:rFonts w:ascii="Times New Roman" w:hAnsi="Times New Roman" w:eastAsia="Times New Roman"/>
                <w:b w:val="0"/>
                <w:sz w:val="19"/>
              </w:rPr>
              <w:t>0.9260</w:t>
            </w:r>
          </w:p>
        </w:tc>
        <w:tc>
          <w:tcPr>
            <w:tcW w:type="dxa" w:w="1128"/>
            <w:vAlign w:val="center"/>
          </w:tcPr>
          <w:p>
            <w:pPr>
              <w:jc w:val="center"/>
            </w:pPr>
            <w:r/>
            <w:r>
              <w:rPr>
                <w:rFonts w:ascii="Times New Roman" w:hAnsi="Times New Roman" w:eastAsia="Times New Roman"/>
                <w:b w:val="0"/>
                <w:sz w:val="19"/>
              </w:rPr>
              <w:t>0.1836</w:t>
            </w:r>
          </w:p>
        </w:tc>
        <w:tc>
          <w:tcPr>
            <w:tcW w:type="dxa" w:w="1128"/>
            <w:vAlign w:val="center"/>
          </w:tcPr>
          <w:p>
            <w:pPr>
              <w:jc w:val="center"/>
            </w:pPr>
            <w:r/>
            <w:r>
              <w:rPr>
                <w:rFonts w:ascii="Times New Roman" w:hAnsi="Times New Roman" w:eastAsia="Times New Roman"/>
                <w:b w:val="0"/>
                <w:sz w:val="19"/>
              </w:rPr>
              <w:t>0.5870</w:t>
            </w:r>
          </w:p>
        </w:tc>
        <w:tc>
          <w:tcPr>
            <w:tcW w:type="dxa" w:w="1128"/>
            <w:vAlign w:val="center"/>
          </w:tcPr>
          <w:p>
            <w:pPr>
              <w:jc w:val="center"/>
            </w:pPr>
            <w:r/>
            <w:r>
              <w:rPr>
                <w:rFonts w:ascii="Times New Roman" w:hAnsi="Times New Roman" w:eastAsia="Times New Roman"/>
                <w:b w:val="0"/>
                <w:sz w:val="19"/>
              </w:rPr>
              <w:t>0.2797</w:t>
            </w:r>
          </w:p>
        </w:tc>
      </w:tr>
      <w:tr>
        <w:tc>
          <w:tcPr>
            <w:tcW w:type="dxa" w:w="1128"/>
            <w:vAlign w:val="center"/>
          </w:tcPr>
          <w:p>
            <w:pPr>
              <w:jc w:val="left"/>
            </w:pPr>
            <w:r/>
            <w:r>
              <w:rPr>
                <w:rFonts w:ascii="Times New Roman" w:hAnsi="Times New Roman" w:eastAsia="Times New Roman"/>
                <w:b w:val="0"/>
                <w:sz w:val="19"/>
              </w:rPr>
              <w:t>E42</w:t>
            </w:r>
          </w:p>
        </w:tc>
        <w:tc>
          <w:tcPr>
            <w:tcW w:type="dxa" w:w="1128"/>
            <w:vAlign w:val="center"/>
          </w:tcPr>
          <w:p>
            <w:pPr>
              <w:jc w:val="left"/>
            </w:pPr>
            <w:r/>
            <w:r>
              <w:rPr>
                <w:rFonts w:ascii="Times New Roman" w:hAnsi="Times New Roman" w:eastAsia="Times New Roman"/>
                <w:b w:val="0"/>
                <w:sz w:val="19"/>
              </w:rPr>
              <w:t>XGBoost</w:t>
            </w:r>
          </w:p>
        </w:tc>
        <w:tc>
          <w:tcPr>
            <w:tcW w:type="dxa" w:w="1128"/>
            <w:vAlign w:val="center"/>
          </w:tcPr>
          <w:p>
            <w:pPr>
              <w:jc w:val="left"/>
            </w:pPr>
            <w:r/>
            <w:r>
              <w:rPr>
                <w:rFonts w:ascii="Times New Roman" w:hAnsi="Times New Roman" w:eastAsia="Times New Roman"/>
                <w:b w:val="0"/>
                <w:sz w:val="19"/>
              </w:rPr>
              <w:t>Boosted-tree classical baseline</w:t>
            </w:r>
          </w:p>
        </w:tc>
        <w:tc>
          <w:tcPr>
            <w:tcW w:type="dxa" w:w="1128"/>
            <w:vAlign w:val="center"/>
          </w:tcPr>
          <w:p>
            <w:pPr>
              <w:jc w:val="center"/>
            </w:pPr>
            <w:r/>
            <w:r>
              <w:rPr>
                <w:rFonts w:ascii="Times New Roman" w:hAnsi="Times New Roman" w:eastAsia="Times New Roman"/>
                <w:b w:val="0"/>
                <w:sz w:val="19"/>
              </w:rPr>
              <w:t>0.4066</w:t>
            </w:r>
          </w:p>
        </w:tc>
        <w:tc>
          <w:tcPr>
            <w:tcW w:type="dxa" w:w="1128"/>
            <w:vAlign w:val="center"/>
          </w:tcPr>
          <w:p>
            <w:pPr>
              <w:jc w:val="center"/>
            </w:pPr>
            <w:r/>
            <w:r>
              <w:rPr>
                <w:rFonts w:ascii="Times New Roman" w:hAnsi="Times New Roman" w:eastAsia="Times New Roman"/>
                <w:b w:val="0"/>
                <w:sz w:val="19"/>
              </w:rPr>
              <w:t>0.9617</w:t>
            </w:r>
          </w:p>
        </w:tc>
        <w:tc>
          <w:tcPr>
            <w:tcW w:type="dxa" w:w="1128"/>
            <w:vAlign w:val="center"/>
          </w:tcPr>
          <w:p>
            <w:pPr>
              <w:jc w:val="center"/>
            </w:pPr>
            <w:r/>
            <w:r>
              <w:rPr>
                <w:rFonts w:ascii="Times New Roman" w:hAnsi="Times New Roman" w:eastAsia="Times New Roman"/>
                <w:b w:val="0"/>
                <w:sz w:val="19"/>
              </w:rPr>
              <w:t>0.2801</w:t>
            </w:r>
          </w:p>
        </w:tc>
        <w:tc>
          <w:tcPr>
            <w:tcW w:type="dxa" w:w="1128"/>
            <w:vAlign w:val="center"/>
          </w:tcPr>
          <w:p>
            <w:pPr>
              <w:jc w:val="center"/>
            </w:pPr>
            <w:r/>
            <w:r>
              <w:rPr>
                <w:rFonts w:ascii="Times New Roman" w:hAnsi="Times New Roman" w:eastAsia="Times New Roman"/>
                <w:b w:val="0"/>
                <w:sz w:val="19"/>
              </w:rPr>
              <w:t>0.7332</w:t>
            </w:r>
          </w:p>
        </w:tc>
        <w:tc>
          <w:tcPr>
            <w:tcW w:type="dxa" w:w="1128"/>
            <w:vAlign w:val="center"/>
          </w:tcPr>
          <w:p>
            <w:pPr>
              <w:jc w:val="center"/>
            </w:pPr>
            <w:r/>
            <w:r>
              <w:rPr>
                <w:rFonts w:ascii="Times New Roman" w:hAnsi="Times New Roman" w:eastAsia="Times New Roman"/>
                <w:b w:val="0"/>
                <w:sz w:val="19"/>
              </w:rPr>
              <w:t>0.4054</w:t>
            </w:r>
          </w:p>
        </w:tc>
      </w:tr>
      <w:tr>
        <w:tc>
          <w:tcPr>
            <w:tcW w:type="dxa" w:w="1128"/>
            <w:vAlign w:val="center"/>
          </w:tcPr>
          <w:p>
            <w:pPr>
              <w:jc w:val="left"/>
            </w:pPr>
            <w:r/>
            <w:r>
              <w:rPr>
                <w:rFonts w:ascii="Times New Roman" w:hAnsi="Times New Roman" w:eastAsia="Times New Roman"/>
                <w:b w:val="0"/>
                <w:sz w:val="19"/>
              </w:rPr>
              <w:t>E43</w:t>
            </w:r>
          </w:p>
        </w:tc>
        <w:tc>
          <w:tcPr>
            <w:tcW w:type="dxa" w:w="1128"/>
            <w:vAlign w:val="center"/>
          </w:tcPr>
          <w:p>
            <w:pPr>
              <w:jc w:val="left"/>
            </w:pPr>
            <w:r/>
            <w:r>
              <w:rPr>
                <w:rFonts w:ascii="Times New Roman" w:hAnsi="Times New Roman" w:eastAsia="Times New Roman"/>
                <w:b w:val="0"/>
                <w:sz w:val="19"/>
              </w:rPr>
              <w:t>CatBoost</w:t>
            </w:r>
          </w:p>
        </w:tc>
        <w:tc>
          <w:tcPr>
            <w:tcW w:type="dxa" w:w="1128"/>
            <w:vAlign w:val="center"/>
          </w:tcPr>
          <w:p>
            <w:pPr>
              <w:jc w:val="left"/>
            </w:pPr>
            <w:r/>
            <w:r>
              <w:rPr>
                <w:rFonts w:ascii="Times New Roman" w:hAnsi="Times New Roman" w:eastAsia="Times New Roman"/>
                <w:b w:val="0"/>
                <w:sz w:val="19"/>
              </w:rPr>
              <w:t>Best matched classical single model</w:t>
            </w:r>
          </w:p>
        </w:tc>
        <w:tc>
          <w:tcPr>
            <w:tcW w:type="dxa" w:w="1128"/>
            <w:vAlign w:val="center"/>
          </w:tcPr>
          <w:p>
            <w:pPr>
              <w:jc w:val="center"/>
            </w:pPr>
            <w:r/>
            <w:r>
              <w:rPr>
                <w:rFonts w:ascii="Times New Roman" w:hAnsi="Times New Roman" w:eastAsia="Times New Roman"/>
                <w:b w:val="0"/>
                <w:sz w:val="19"/>
              </w:rPr>
              <w:t>0.4147</w:t>
            </w:r>
          </w:p>
        </w:tc>
        <w:tc>
          <w:tcPr>
            <w:tcW w:type="dxa" w:w="1128"/>
            <w:vAlign w:val="center"/>
          </w:tcPr>
          <w:p>
            <w:pPr>
              <w:jc w:val="center"/>
            </w:pPr>
            <w:r/>
            <w:r>
              <w:rPr>
                <w:rFonts w:ascii="Times New Roman" w:hAnsi="Times New Roman" w:eastAsia="Times New Roman"/>
                <w:b w:val="0"/>
                <w:sz w:val="19"/>
              </w:rPr>
              <w:t>0.9647</w:t>
            </w:r>
          </w:p>
        </w:tc>
        <w:tc>
          <w:tcPr>
            <w:tcW w:type="dxa" w:w="1128"/>
            <w:vAlign w:val="center"/>
          </w:tcPr>
          <w:p>
            <w:pPr>
              <w:jc w:val="center"/>
            </w:pPr>
            <w:r/>
            <w:r>
              <w:rPr>
                <w:rFonts w:ascii="Times New Roman" w:hAnsi="Times New Roman" w:eastAsia="Times New Roman"/>
                <w:b w:val="0"/>
                <w:sz w:val="19"/>
              </w:rPr>
              <w:t>0.2444</w:t>
            </w:r>
          </w:p>
        </w:tc>
        <w:tc>
          <w:tcPr>
            <w:tcW w:type="dxa" w:w="1128"/>
            <w:vAlign w:val="center"/>
          </w:tcPr>
          <w:p>
            <w:pPr>
              <w:jc w:val="center"/>
            </w:pPr>
            <w:r/>
            <w:r>
              <w:rPr>
                <w:rFonts w:ascii="Times New Roman" w:hAnsi="Times New Roman" w:eastAsia="Times New Roman"/>
                <w:b w:val="0"/>
                <w:sz w:val="19"/>
              </w:rPr>
              <w:t>0.7976</w:t>
            </w:r>
          </w:p>
        </w:tc>
        <w:tc>
          <w:tcPr>
            <w:tcW w:type="dxa" w:w="1128"/>
            <w:vAlign w:val="center"/>
          </w:tcPr>
          <w:p>
            <w:pPr>
              <w:jc w:val="center"/>
            </w:pPr>
            <w:r/>
            <w:r>
              <w:rPr>
                <w:rFonts w:ascii="Times New Roman" w:hAnsi="Times New Roman" w:eastAsia="Times New Roman"/>
                <w:b w:val="0"/>
                <w:sz w:val="19"/>
              </w:rPr>
              <w:t>0.3741</w:t>
            </w:r>
          </w:p>
        </w:tc>
      </w:tr>
      <w:tr>
        <w:tc>
          <w:tcPr>
            <w:tcW w:type="dxa" w:w="1128"/>
            <w:vAlign w:val="center"/>
          </w:tcPr>
          <w:p>
            <w:pPr>
              <w:jc w:val="left"/>
            </w:pPr>
            <w:r/>
            <w:r>
              <w:rPr>
                <w:rFonts w:ascii="Times New Roman" w:hAnsi="Times New Roman" w:eastAsia="Times New Roman"/>
                <w:b w:val="0"/>
                <w:sz w:val="19"/>
              </w:rPr>
              <w:t>E44</w:t>
            </w:r>
          </w:p>
        </w:tc>
        <w:tc>
          <w:tcPr>
            <w:tcW w:type="dxa" w:w="1128"/>
            <w:vAlign w:val="center"/>
          </w:tcPr>
          <w:p>
            <w:pPr>
              <w:jc w:val="left"/>
            </w:pPr>
            <w:r/>
            <w:r>
              <w:rPr>
                <w:rFonts w:ascii="Times New Roman" w:hAnsi="Times New Roman" w:eastAsia="Times New Roman"/>
                <w:b w:val="0"/>
                <w:sz w:val="19"/>
              </w:rPr>
              <w:t>LightGBM</w:t>
            </w:r>
          </w:p>
        </w:tc>
        <w:tc>
          <w:tcPr>
            <w:tcW w:type="dxa" w:w="1128"/>
            <w:vAlign w:val="center"/>
          </w:tcPr>
          <w:p>
            <w:pPr>
              <w:jc w:val="left"/>
            </w:pPr>
            <w:r/>
            <w:r>
              <w:rPr>
                <w:rFonts w:ascii="Times New Roman" w:hAnsi="Times New Roman" w:eastAsia="Times New Roman"/>
                <w:b w:val="0"/>
                <w:sz w:val="19"/>
              </w:rPr>
              <w:t>Strong matched classical single model</w:t>
            </w:r>
          </w:p>
        </w:tc>
        <w:tc>
          <w:tcPr>
            <w:tcW w:type="dxa" w:w="1128"/>
            <w:vAlign w:val="center"/>
          </w:tcPr>
          <w:p>
            <w:pPr>
              <w:jc w:val="center"/>
            </w:pPr>
            <w:r/>
            <w:r>
              <w:rPr>
                <w:rFonts w:ascii="Times New Roman" w:hAnsi="Times New Roman" w:eastAsia="Times New Roman"/>
                <w:b w:val="0"/>
                <w:sz w:val="19"/>
              </w:rPr>
              <w:t>0.4139</w:t>
            </w:r>
          </w:p>
        </w:tc>
        <w:tc>
          <w:tcPr>
            <w:tcW w:type="dxa" w:w="1128"/>
            <w:vAlign w:val="center"/>
          </w:tcPr>
          <w:p>
            <w:pPr>
              <w:jc w:val="center"/>
            </w:pPr>
            <w:r/>
            <w:r>
              <w:rPr>
                <w:rFonts w:ascii="Times New Roman" w:hAnsi="Times New Roman" w:eastAsia="Times New Roman"/>
                <w:b w:val="0"/>
                <w:sz w:val="19"/>
              </w:rPr>
              <w:t>0.9639</w:t>
            </w:r>
          </w:p>
        </w:tc>
        <w:tc>
          <w:tcPr>
            <w:tcW w:type="dxa" w:w="1128"/>
            <w:vAlign w:val="center"/>
          </w:tcPr>
          <w:p>
            <w:pPr>
              <w:jc w:val="center"/>
            </w:pPr>
            <w:r/>
            <w:r>
              <w:rPr>
                <w:rFonts w:ascii="Times New Roman" w:hAnsi="Times New Roman" w:eastAsia="Times New Roman"/>
                <w:b w:val="0"/>
                <w:sz w:val="19"/>
              </w:rPr>
              <w:t>0.2427</w:t>
            </w:r>
          </w:p>
        </w:tc>
        <w:tc>
          <w:tcPr>
            <w:tcW w:type="dxa" w:w="1128"/>
            <w:vAlign w:val="center"/>
          </w:tcPr>
          <w:p>
            <w:pPr>
              <w:jc w:val="center"/>
            </w:pPr>
            <w:r/>
            <w:r>
              <w:rPr>
                <w:rFonts w:ascii="Times New Roman" w:hAnsi="Times New Roman" w:eastAsia="Times New Roman"/>
                <w:b w:val="0"/>
                <w:sz w:val="19"/>
              </w:rPr>
              <w:t>0.7824</w:t>
            </w:r>
          </w:p>
        </w:tc>
        <w:tc>
          <w:tcPr>
            <w:tcW w:type="dxa" w:w="1128"/>
            <w:vAlign w:val="center"/>
          </w:tcPr>
          <w:p>
            <w:pPr>
              <w:jc w:val="center"/>
            </w:pPr>
            <w:r/>
            <w:r>
              <w:rPr>
                <w:rFonts w:ascii="Times New Roman" w:hAnsi="Times New Roman" w:eastAsia="Times New Roman"/>
                <w:b w:val="0"/>
                <w:sz w:val="19"/>
              </w:rPr>
              <w:t>0.3705</w:t>
            </w:r>
          </w:p>
        </w:tc>
      </w:tr>
      <w:tr>
        <w:tc>
          <w:tcPr>
            <w:tcW w:type="dxa" w:w="1128"/>
            <w:vAlign w:val="center"/>
          </w:tcPr>
          <w:p>
            <w:pPr>
              <w:jc w:val="left"/>
            </w:pPr>
            <w:r/>
            <w:r>
              <w:rPr>
                <w:rFonts w:ascii="Times New Roman" w:hAnsi="Times New Roman" w:eastAsia="Times New Roman"/>
                <w:b w:val="0"/>
                <w:sz w:val="19"/>
              </w:rPr>
              <w:t>E49</w:t>
            </w:r>
          </w:p>
        </w:tc>
        <w:tc>
          <w:tcPr>
            <w:tcW w:type="dxa" w:w="1128"/>
            <w:vAlign w:val="center"/>
          </w:tcPr>
          <w:p>
            <w:pPr>
              <w:jc w:val="left"/>
            </w:pPr>
            <w:r/>
            <w:r>
              <w:rPr>
                <w:rFonts w:ascii="Times New Roman" w:hAnsi="Times New Roman" w:eastAsia="Times New Roman"/>
                <w:b w:val="0"/>
                <w:sz w:val="19"/>
              </w:rPr>
              <w:t>GRUMultiMarket</w:t>
            </w:r>
          </w:p>
        </w:tc>
        <w:tc>
          <w:tcPr>
            <w:tcW w:type="dxa" w:w="1128"/>
            <w:vAlign w:val="center"/>
          </w:tcPr>
          <w:p>
            <w:pPr>
              <w:jc w:val="left"/>
            </w:pPr>
            <w:r/>
            <w:r>
              <w:rPr>
                <w:rFonts w:ascii="Times New Roman" w:hAnsi="Times New Roman" w:eastAsia="Times New Roman"/>
                <w:b w:val="0"/>
                <w:sz w:val="19"/>
              </w:rPr>
              <w:t>Best stable standalone deep model</w:t>
            </w:r>
          </w:p>
        </w:tc>
        <w:tc>
          <w:tcPr>
            <w:tcW w:type="dxa" w:w="1128"/>
            <w:vAlign w:val="center"/>
          </w:tcPr>
          <w:p>
            <w:pPr>
              <w:jc w:val="center"/>
            </w:pPr>
            <w:r/>
            <w:r>
              <w:rPr>
                <w:rFonts w:ascii="Times New Roman" w:hAnsi="Times New Roman" w:eastAsia="Times New Roman"/>
                <w:b w:val="0"/>
                <w:sz w:val="19"/>
              </w:rPr>
              <w:t>0.3867</w:t>
            </w:r>
          </w:p>
        </w:tc>
        <w:tc>
          <w:tcPr>
            <w:tcW w:type="dxa" w:w="1128"/>
            <w:vAlign w:val="center"/>
          </w:tcPr>
          <w:p>
            <w:pPr>
              <w:jc w:val="center"/>
            </w:pPr>
            <w:r/>
            <w:r>
              <w:rPr>
                <w:rFonts w:ascii="Times New Roman" w:hAnsi="Times New Roman" w:eastAsia="Times New Roman"/>
                <w:b w:val="0"/>
                <w:sz w:val="19"/>
              </w:rPr>
              <w:t>0.9613</w:t>
            </w:r>
          </w:p>
        </w:tc>
        <w:tc>
          <w:tcPr>
            <w:tcW w:type="dxa" w:w="1128"/>
            <w:vAlign w:val="center"/>
          </w:tcPr>
          <w:p>
            <w:pPr>
              <w:jc w:val="center"/>
            </w:pPr>
            <w:r/>
            <w:r>
              <w:rPr>
                <w:rFonts w:ascii="Times New Roman" w:hAnsi="Times New Roman" w:eastAsia="Times New Roman"/>
                <w:b w:val="0"/>
                <w:sz w:val="19"/>
              </w:rPr>
              <w:t>0.3060</w:t>
            </w:r>
          </w:p>
        </w:tc>
        <w:tc>
          <w:tcPr>
            <w:tcW w:type="dxa" w:w="1128"/>
            <w:vAlign w:val="center"/>
          </w:tcPr>
          <w:p>
            <w:pPr>
              <w:jc w:val="center"/>
            </w:pPr>
            <w:r/>
            <w:r>
              <w:rPr>
                <w:rFonts w:ascii="Times New Roman" w:hAnsi="Times New Roman" w:eastAsia="Times New Roman"/>
                <w:b w:val="0"/>
                <w:sz w:val="19"/>
              </w:rPr>
              <w:t>0.6022</w:t>
            </w:r>
          </w:p>
        </w:tc>
        <w:tc>
          <w:tcPr>
            <w:tcW w:type="dxa" w:w="1128"/>
            <w:vAlign w:val="center"/>
          </w:tcPr>
          <w:p>
            <w:pPr>
              <w:jc w:val="center"/>
            </w:pPr>
            <w:r/>
            <w:r>
              <w:rPr>
                <w:rFonts w:ascii="Times New Roman" w:hAnsi="Times New Roman" w:eastAsia="Times New Roman"/>
                <w:b w:val="0"/>
                <w:sz w:val="19"/>
              </w:rPr>
              <w:t>0.4029</w:t>
            </w:r>
          </w:p>
        </w:tc>
      </w:tr>
      <w:tr>
        <w:tc>
          <w:tcPr>
            <w:tcW w:type="dxa" w:w="1128"/>
            <w:vAlign w:val="center"/>
          </w:tcPr>
          <w:p>
            <w:pPr>
              <w:jc w:val="left"/>
            </w:pPr>
            <w:r/>
            <w:r>
              <w:rPr>
                <w:rFonts w:ascii="Times New Roman" w:hAnsi="Times New Roman" w:eastAsia="Times New Roman"/>
                <w:b w:val="0"/>
                <w:sz w:val="19"/>
              </w:rPr>
              <w:t>E75</w:t>
            </w:r>
          </w:p>
        </w:tc>
        <w:tc>
          <w:tcPr>
            <w:tcW w:type="dxa" w:w="1128"/>
            <w:vAlign w:val="center"/>
          </w:tcPr>
          <w:p>
            <w:pPr>
              <w:jc w:val="left"/>
            </w:pPr>
            <w:r/>
            <w:r>
              <w:rPr>
                <w:rFonts w:ascii="Times New Roman" w:hAnsi="Times New Roman" w:eastAsia="Times New Roman"/>
                <w:b w:val="0"/>
                <w:sz w:val="19"/>
              </w:rPr>
              <w:t>Nonlinear LightGBM stacking</w:t>
            </w:r>
          </w:p>
        </w:tc>
        <w:tc>
          <w:tcPr>
            <w:tcW w:type="dxa" w:w="1128"/>
            <w:vAlign w:val="center"/>
          </w:tcPr>
          <w:p>
            <w:pPr>
              <w:jc w:val="left"/>
            </w:pPr>
            <w:r/>
            <w:r>
              <w:rPr>
                <w:rFonts w:ascii="Times New Roman" w:hAnsi="Times New Roman" w:eastAsia="Times New Roman"/>
                <w:b w:val="0"/>
                <w:sz w:val="19"/>
              </w:rPr>
              <w:t>Strongest pure-meta reference</w:t>
            </w:r>
          </w:p>
        </w:tc>
        <w:tc>
          <w:tcPr>
            <w:tcW w:type="dxa" w:w="1128"/>
            <w:vAlign w:val="center"/>
          </w:tcPr>
          <w:p>
            <w:pPr>
              <w:jc w:val="center"/>
            </w:pPr>
            <w:r/>
            <w:r>
              <w:rPr>
                <w:rFonts w:ascii="Times New Roman" w:hAnsi="Times New Roman" w:eastAsia="Times New Roman"/>
                <w:b w:val="0"/>
                <w:sz w:val="19"/>
              </w:rPr>
              <w:t>0.4323</w:t>
            </w:r>
          </w:p>
        </w:tc>
        <w:tc>
          <w:tcPr>
            <w:tcW w:type="dxa" w:w="1128"/>
            <w:vAlign w:val="center"/>
          </w:tcPr>
          <w:p>
            <w:pPr>
              <w:jc w:val="center"/>
            </w:pPr>
            <w:r/>
            <w:r>
              <w:rPr>
                <w:rFonts w:ascii="Times New Roman" w:hAnsi="Times New Roman" w:eastAsia="Times New Roman"/>
                <w:b w:val="0"/>
                <w:sz w:val="19"/>
              </w:rPr>
              <w:t>0.9697</w:t>
            </w:r>
          </w:p>
        </w:tc>
        <w:tc>
          <w:tcPr>
            <w:tcW w:type="dxa" w:w="1128"/>
            <w:vAlign w:val="center"/>
          </w:tcPr>
          <w:p>
            <w:pPr>
              <w:jc w:val="center"/>
            </w:pPr>
            <w:r/>
            <w:r>
              <w:rPr>
                <w:rFonts w:ascii="Times New Roman" w:hAnsi="Times New Roman" w:eastAsia="Times New Roman"/>
                <w:b w:val="0"/>
                <w:sz w:val="19"/>
              </w:rPr>
              <w:t>0.3326</w:t>
            </w:r>
          </w:p>
        </w:tc>
        <w:tc>
          <w:tcPr>
            <w:tcW w:type="dxa" w:w="1128"/>
            <w:vAlign w:val="center"/>
          </w:tcPr>
          <w:p>
            <w:pPr>
              <w:jc w:val="center"/>
            </w:pPr>
            <w:r/>
            <w:r>
              <w:rPr>
                <w:rFonts w:ascii="Times New Roman" w:hAnsi="Times New Roman" w:eastAsia="Times New Roman"/>
                <w:b w:val="0"/>
                <w:sz w:val="19"/>
              </w:rPr>
              <w:t>0.6951</w:t>
            </w:r>
          </w:p>
        </w:tc>
        <w:tc>
          <w:tcPr>
            <w:tcW w:type="dxa" w:w="1128"/>
            <w:vAlign w:val="center"/>
          </w:tcPr>
          <w:p>
            <w:pPr>
              <w:jc w:val="center"/>
            </w:pPr>
            <w:r/>
            <w:r>
              <w:rPr>
                <w:rFonts w:ascii="Times New Roman" w:hAnsi="Times New Roman" w:eastAsia="Times New Roman"/>
                <w:b w:val="0"/>
                <w:sz w:val="19"/>
              </w:rPr>
              <w:t>0.4499</w:t>
            </w:r>
          </w:p>
        </w:tc>
      </w:tr>
      <w:tr>
        <w:tc>
          <w:tcPr>
            <w:tcW w:type="dxa" w:w="1128"/>
            <w:vAlign w:val="center"/>
          </w:tcPr>
          <w:p>
            <w:pPr>
              <w:jc w:val="left"/>
            </w:pPr>
            <w:r/>
            <w:r>
              <w:rPr>
                <w:rFonts w:ascii="Times New Roman" w:hAnsi="Times New Roman" w:eastAsia="Times New Roman"/>
                <w:b w:val="0"/>
                <w:sz w:val="19"/>
              </w:rPr>
              <w:t>E78</w:t>
            </w:r>
          </w:p>
        </w:tc>
        <w:tc>
          <w:tcPr>
            <w:tcW w:type="dxa" w:w="1128"/>
            <w:vAlign w:val="center"/>
          </w:tcPr>
          <w:p>
            <w:pPr>
              <w:jc w:val="left"/>
            </w:pPr>
            <w:r/>
            <w:r>
              <w:rPr>
                <w:rFonts w:ascii="Times New Roman" w:hAnsi="Times New Roman" w:eastAsia="Times New Roman"/>
                <w:b w:val="0"/>
                <w:sz w:val="19"/>
              </w:rPr>
              <w:t>Mechanism-aware CatBoost</w:t>
            </w:r>
          </w:p>
        </w:tc>
        <w:tc>
          <w:tcPr>
            <w:tcW w:type="dxa" w:w="1128"/>
            <w:vAlign w:val="center"/>
          </w:tcPr>
          <w:p>
            <w:pPr>
              <w:jc w:val="left"/>
            </w:pPr>
            <w:r/>
            <w:r>
              <w:rPr>
                <w:rFonts w:ascii="Times New Roman" w:hAnsi="Times New Roman" w:eastAsia="Times New Roman"/>
                <w:b w:val="0"/>
                <w:sz w:val="19"/>
              </w:rPr>
              <w:t>Best newly trained final-phase single model</w:t>
            </w:r>
          </w:p>
        </w:tc>
        <w:tc>
          <w:tcPr>
            <w:tcW w:type="dxa" w:w="1128"/>
            <w:vAlign w:val="center"/>
          </w:tcPr>
          <w:p>
            <w:pPr>
              <w:jc w:val="center"/>
            </w:pPr>
            <w:r/>
            <w:r>
              <w:rPr>
                <w:rFonts w:ascii="Times New Roman" w:hAnsi="Times New Roman" w:eastAsia="Times New Roman"/>
                <w:b w:val="0"/>
                <w:sz w:val="19"/>
              </w:rPr>
              <w:t>0.4296</w:t>
            </w:r>
          </w:p>
        </w:tc>
        <w:tc>
          <w:tcPr>
            <w:tcW w:type="dxa" w:w="1128"/>
            <w:vAlign w:val="center"/>
          </w:tcPr>
          <w:p>
            <w:pPr>
              <w:jc w:val="center"/>
            </w:pPr>
            <w:r/>
            <w:r>
              <w:rPr>
                <w:rFonts w:ascii="Times New Roman" w:hAnsi="Times New Roman" w:eastAsia="Times New Roman"/>
                <w:b w:val="0"/>
                <w:sz w:val="19"/>
              </w:rPr>
              <w:t>0.9652</w:t>
            </w:r>
          </w:p>
        </w:tc>
        <w:tc>
          <w:tcPr>
            <w:tcW w:type="dxa" w:w="1128"/>
            <w:vAlign w:val="center"/>
          </w:tcPr>
          <w:p>
            <w:pPr>
              <w:jc w:val="center"/>
            </w:pPr>
            <w:r/>
            <w:r>
              <w:rPr>
                <w:rFonts w:ascii="Times New Roman" w:hAnsi="Times New Roman" w:eastAsia="Times New Roman"/>
                <w:b w:val="0"/>
                <w:sz w:val="19"/>
              </w:rPr>
              <w:t>0.2845</w:t>
            </w:r>
          </w:p>
        </w:tc>
        <w:tc>
          <w:tcPr>
            <w:tcW w:type="dxa" w:w="1128"/>
            <w:vAlign w:val="center"/>
          </w:tcPr>
          <w:p>
            <w:pPr>
              <w:jc w:val="center"/>
            </w:pPr>
            <w:r/>
            <w:r>
              <w:rPr>
                <w:rFonts w:ascii="Times New Roman" w:hAnsi="Times New Roman" w:eastAsia="Times New Roman"/>
                <w:b w:val="0"/>
                <w:sz w:val="19"/>
              </w:rPr>
              <w:t>0.7415</w:t>
            </w:r>
          </w:p>
        </w:tc>
        <w:tc>
          <w:tcPr>
            <w:tcW w:type="dxa" w:w="1128"/>
            <w:vAlign w:val="center"/>
          </w:tcPr>
          <w:p>
            <w:pPr>
              <w:jc w:val="center"/>
            </w:pPr>
            <w:r/>
            <w:r>
              <w:rPr>
                <w:rFonts w:ascii="Times New Roman" w:hAnsi="Times New Roman" w:eastAsia="Times New Roman"/>
                <w:b w:val="0"/>
                <w:sz w:val="19"/>
              </w:rPr>
              <w:t>0.4112</w:t>
            </w:r>
          </w:p>
        </w:tc>
      </w:tr>
      <w:tr>
        <w:tc>
          <w:tcPr>
            <w:tcW w:type="dxa" w:w="1128"/>
            <w:vAlign w:val="center"/>
          </w:tcPr>
          <w:p>
            <w:pPr>
              <w:jc w:val="left"/>
            </w:pPr>
            <w:r/>
            <w:r>
              <w:rPr>
                <w:rFonts w:ascii="Times New Roman" w:hAnsi="Times New Roman" w:eastAsia="Times New Roman"/>
                <w:b w:val="0"/>
                <w:sz w:val="19"/>
              </w:rPr>
              <w:t>E81</w:t>
            </w:r>
          </w:p>
        </w:tc>
        <w:tc>
          <w:tcPr>
            <w:tcW w:type="dxa" w:w="1128"/>
            <w:vAlign w:val="center"/>
          </w:tcPr>
          <w:p>
            <w:pPr>
              <w:jc w:val="left"/>
            </w:pPr>
            <w:r/>
            <w:r>
              <w:rPr>
                <w:rFonts w:ascii="Times New Roman" w:hAnsi="Times New Roman" w:eastAsia="Times New Roman"/>
                <w:b w:val="0"/>
                <w:sz w:val="19"/>
              </w:rPr>
              <w:t>Late fusion (E75 + E78)</w:t>
            </w:r>
          </w:p>
        </w:tc>
        <w:tc>
          <w:tcPr>
            <w:tcW w:type="dxa" w:w="1128"/>
            <w:vAlign w:val="center"/>
          </w:tcPr>
          <w:p>
            <w:pPr>
              <w:jc w:val="left"/>
            </w:pPr>
            <w:r/>
            <w:r>
              <w:rPr>
                <w:rFonts w:ascii="Times New Roman" w:hAnsi="Times New Roman" w:eastAsia="Times New Roman"/>
                <w:b w:val="0"/>
                <w:sz w:val="19"/>
              </w:rPr>
              <w:t>Best overall result</w:t>
            </w:r>
          </w:p>
        </w:tc>
        <w:tc>
          <w:tcPr>
            <w:tcW w:type="dxa" w:w="1128"/>
            <w:vAlign w:val="center"/>
          </w:tcPr>
          <w:p>
            <w:pPr>
              <w:jc w:val="center"/>
            </w:pPr>
            <w:r/>
            <w:r>
              <w:rPr>
                <w:rFonts w:ascii="Times New Roman" w:hAnsi="Times New Roman" w:eastAsia="Times New Roman"/>
                <w:b w:val="0"/>
                <w:sz w:val="19"/>
              </w:rPr>
              <w:t>0.4388</w:t>
            </w:r>
          </w:p>
        </w:tc>
        <w:tc>
          <w:tcPr>
            <w:tcW w:type="dxa" w:w="1128"/>
            <w:vAlign w:val="center"/>
          </w:tcPr>
          <w:p>
            <w:pPr>
              <w:jc w:val="center"/>
            </w:pPr>
            <w:r/>
            <w:r>
              <w:rPr>
                <w:rFonts w:ascii="Times New Roman" w:hAnsi="Times New Roman" w:eastAsia="Times New Roman"/>
                <w:b w:val="0"/>
                <w:sz w:val="19"/>
              </w:rPr>
              <w:t>0.9696</w:t>
            </w:r>
          </w:p>
        </w:tc>
        <w:tc>
          <w:tcPr>
            <w:tcW w:type="dxa" w:w="1128"/>
            <w:vAlign w:val="center"/>
          </w:tcPr>
          <w:p>
            <w:pPr>
              <w:jc w:val="center"/>
            </w:pPr>
            <w:r/>
            <w:r>
              <w:rPr>
                <w:rFonts w:ascii="Times New Roman" w:hAnsi="Times New Roman" w:eastAsia="Times New Roman"/>
                <w:b w:val="0"/>
                <w:sz w:val="19"/>
              </w:rPr>
              <w:t>0.3003</w:t>
            </w:r>
          </w:p>
        </w:tc>
        <w:tc>
          <w:tcPr>
            <w:tcW w:type="dxa" w:w="1128"/>
            <w:vAlign w:val="center"/>
          </w:tcPr>
          <w:p>
            <w:pPr>
              <w:jc w:val="center"/>
            </w:pPr>
            <w:r/>
            <w:r>
              <w:rPr>
                <w:rFonts w:ascii="Times New Roman" w:hAnsi="Times New Roman" w:eastAsia="Times New Roman"/>
                <w:b w:val="0"/>
                <w:sz w:val="19"/>
              </w:rPr>
              <w:t>0.7297</w:t>
            </w:r>
          </w:p>
        </w:tc>
        <w:tc>
          <w:tcPr>
            <w:tcW w:type="dxa" w:w="1128"/>
            <w:vAlign w:val="center"/>
          </w:tcPr>
          <w:p>
            <w:pPr>
              <w:jc w:val="center"/>
            </w:pPr>
            <w:r/>
            <w:r>
              <w:rPr>
                <w:rFonts w:ascii="Times New Roman" w:hAnsi="Times New Roman" w:eastAsia="Times New Roman"/>
                <w:b w:val="0"/>
                <w:sz w:val="19"/>
              </w:rPr>
              <w:t>0.4255</w:t>
            </w:r>
          </w:p>
        </w:tc>
      </w:tr>
    </w:tbl>
    <w:p>
      <w:pPr>
        <w:ind w:firstLine="0"/>
        <w:jc w:val="both"/>
      </w:pPr>
      <w:r>
        <w:t>Note. E49 reports the repeated-seed mean on the matched benchmark task. All rows in this table use the same final main-task definition: 20 countries, public features, 168-hour input window, and a 6-hour forecasting horizon.</w:t>
      </w:r>
    </w:p>
    <w:p>
      <w:pPr>
        <w:jc w:val="center"/>
      </w:pPr>
      <w:r>
        <w:rPr>
          <w:rFonts w:ascii="Times New Roman" w:hAnsi="Times New Roman" w:eastAsia="Times New Roman"/>
          <w:b/>
          <w:sz w:val="22"/>
        </w:rPr>
        <w:t>Table 3. Milestone progression of the best score across the four experiment phases.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
              <w:rPr>
                <w:rFonts w:ascii="Times New Roman" w:hAnsi="Times New Roman" w:eastAsia="Times New Roman"/>
                <w:b/>
                <w:sz w:val="19"/>
              </w:rPr>
              <w:t>Phase</w:t>
            </w:r>
          </w:p>
        </w:tc>
        <w:tc>
          <w:tcPr>
            <w:tcW w:type="dxa" w:w="1805"/>
            <w:vAlign w:val="center"/>
          </w:tcPr>
          <w:p>
            <w:pPr>
              <w:jc w:val="center"/>
            </w:pPr>
            <w:r/>
            <w:r>
              <w:rPr>
                <w:rFonts w:ascii="Times New Roman" w:hAnsi="Times New Roman" w:eastAsia="Times New Roman"/>
                <w:b/>
                <w:sz w:val="19"/>
              </w:rPr>
              <w:t>Representative Experiments</w:t>
            </w:r>
          </w:p>
        </w:tc>
        <w:tc>
          <w:tcPr>
            <w:tcW w:type="dxa" w:w="1805"/>
            <w:vAlign w:val="center"/>
          </w:tcPr>
          <w:p>
            <w:pPr>
              <w:jc w:val="center"/>
            </w:pPr>
            <w:r/>
            <w:r>
              <w:rPr>
                <w:rFonts w:ascii="Times New Roman" w:hAnsi="Times New Roman" w:eastAsia="Times New Roman"/>
                <w:b/>
                <w:sz w:val="19"/>
              </w:rPr>
              <w:t>Best Milestone</w:t>
            </w:r>
          </w:p>
        </w:tc>
        <w:tc>
          <w:tcPr>
            <w:tcW w:type="dxa" w:w="1805"/>
            <w:vAlign w:val="center"/>
          </w:tcPr>
          <w:p>
            <w:pPr>
              <w:jc w:val="center"/>
            </w:pPr>
            <w:r/>
            <w:r>
              <w:rPr>
                <w:rFonts w:ascii="Times New Roman" w:hAnsi="Times New Roman" w:eastAsia="Times New Roman"/>
                <w:b/>
                <w:sz w:val="19"/>
              </w:rPr>
              <w:t>Best PR-AUC</w:t>
            </w:r>
          </w:p>
        </w:tc>
        <w:tc>
          <w:tcPr>
            <w:tcW w:type="dxa" w:w="1805"/>
            <w:vAlign w:val="center"/>
          </w:tcPr>
          <w:p>
            <w:pPr>
              <w:jc w:val="center"/>
            </w:pPr>
            <w:r/>
            <w:r>
              <w:rPr>
                <w:rFonts w:ascii="Times New Roman" w:hAnsi="Times New Roman" w:eastAsia="Times New Roman"/>
                <w:b/>
                <w:sz w:val="19"/>
              </w:rPr>
              <w:t>Interpretation</w:t>
            </w:r>
          </w:p>
        </w:tc>
      </w:tr>
      <w:tr>
        <w:tc>
          <w:tcPr>
            <w:tcW w:type="dxa" w:w="1805"/>
            <w:vAlign w:val="center"/>
          </w:tcPr>
          <w:p>
            <w:pPr>
              <w:jc w:val="left"/>
            </w:pPr>
            <w:r/>
            <w:r>
              <w:rPr>
                <w:rFonts w:ascii="Times New Roman" w:hAnsi="Times New Roman" w:eastAsia="Times New Roman"/>
                <w:b w:val="0"/>
                <w:sz w:val="19"/>
              </w:rPr>
              <w:t>Phase 1</w:t>
            </w:r>
          </w:p>
        </w:tc>
        <w:tc>
          <w:tcPr>
            <w:tcW w:type="dxa" w:w="1805"/>
            <w:vAlign w:val="center"/>
          </w:tcPr>
          <w:p>
            <w:pPr>
              <w:jc w:val="left"/>
            </w:pPr>
            <w:r/>
            <w:r>
              <w:rPr>
                <w:rFonts w:ascii="Times New Roman" w:hAnsi="Times New Roman" w:eastAsia="Times New Roman"/>
                <w:b w:val="0"/>
                <w:sz w:val="19"/>
              </w:rPr>
              <w:t>E23-E35</w:t>
            </w:r>
          </w:p>
        </w:tc>
        <w:tc>
          <w:tcPr>
            <w:tcW w:type="dxa" w:w="1805"/>
            <w:vAlign w:val="center"/>
          </w:tcPr>
          <w:p>
            <w:pPr>
              <w:jc w:val="left"/>
            </w:pPr>
            <w:r/>
            <w:r>
              <w:rPr>
                <w:rFonts w:ascii="Times New Roman" w:hAnsi="Times New Roman" w:eastAsia="Times New Roman"/>
                <w:b w:val="0"/>
                <w:sz w:val="19"/>
              </w:rPr>
              <w:t>E35</w:t>
            </w:r>
          </w:p>
        </w:tc>
        <w:tc>
          <w:tcPr>
            <w:tcW w:type="dxa" w:w="1805"/>
            <w:vAlign w:val="center"/>
          </w:tcPr>
          <w:p>
            <w:pPr>
              <w:jc w:val="center"/>
            </w:pPr>
            <w:r/>
            <w:r>
              <w:rPr>
                <w:rFonts w:ascii="Times New Roman" w:hAnsi="Times New Roman" w:eastAsia="Times New Roman"/>
                <w:b w:val="0"/>
                <w:sz w:val="19"/>
              </w:rPr>
              <w:t>0.3691</w:t>
            </w:r>
          </w:p>
        </w:tc>
        <w:tc>
          <w:tcPr>
            <w:tcW w:type="dxa" w:w="1805"/>
            <w:vAlign w:val="center"/>
          </w:tcPr>
          <w:p>
            <w:pPr>
              <w:jc w:val="left"/>
            </w:pPr>
            <w:r/>
            <w:r>
              <w:rPr>
                <w:rFonts w:ascii="Times New Roman" w:hAnsi="Times New Roman" w:eastAsia="Times New Roman"/>
                <w:b w:val="0"/>
                <w:sz w:val="19"/>
              </w:rPr>
              <w:t>Single-market hybrid deep development produced the first strong deep reference.</w:t>
            </w:r>
          </w:p>
        </w:tc>
      </w:tr>
      <w:tr>
        <w:tc>
          <w:tcPr>
            <w:tcW w:type="dxa" w:w="1805"/>
            <w:vAlign w:val="center"/>
          </w:tcPr>
          <w:p>
            <w:pPr>
              <w:jc w:val="left"/>
            </w:pPr>
            <w:r/>
            <w:r>
              <w:rPr>
                <w:rFonts w:ascii="Times New Roman" w:hAnsi="Times New Roman" w:eastAsia="Times New Roman"/>
                <w:b w:val="0"/>
                <w:sz w:val="19"/>
              </w:rPr>
              <w:t>Phase 2</w:t>
            </w:r>
          </w:p>
        </w:tc>
        <w:tc>
          <w:tcPr>
            <w:tcW w:type="dxa" w:w="1805"/>
            <w:vAlign w:val="center"/>
          </w:tcPr>
          <w:p>
            <w:pPr>
              <w:jc w:val="left"/>
            </w:pPr>
            <w:r/>
            <w:r>
              <w:rPr>
                <w:rFonts w:ascii="Times New Roman" w:hAnsi="Times New Roman" w:eastAsia="Times New Roman"/>
                <w:b w:val="0"/>
                <w:sz w:val="19"/>
              </w:rPr>
              <w:t>E45-E52</w:t>
            </w:r>
          </w:p>
        </w:tc>
        <w:tc>
          <w:tcPr>
            <w:tcW w:type="dxa" w:w="1805"/>
            <w:vAlign w:val="center"/>
          </w:tcPr>
          <w:p>
            <w:pPr>
              <w:jc w:val="left"/>
            </w:pPr>
            <w:r/>
            <w:r>
              <w:rPr>
                <w:rFonts w:ascii="Times New Roman" w:hAnsi="Times New Roman" w:eastAsia="Times New Roman"/>
                <w:b w:val="0"/>
                <w:sz w:val="19"/>
              </w:rPr>
              <w:t>E49</w:t>
            </w:r>
          </w:p>
        </w:tc>
        <w:tc>
          <w:tcPr>
            <w:tcW w:type="dxa" w:w="1805"/>
            <w:vAlign w:val="center"/>
          </w:tcPr>
          <w:p>
            <w:pPr>
              <w:jc w:val="center"/>
            </w:pPr>
            <w:r/>
            <w:r>
              <w:rPr>
                <w:rFonts w:ascii="Times New Roman" w:hAnsi="Times New Roman" w:eastAsia="Times New Roman"/>
                <w:b w:val="0"/>
                <w:sz w:val="19"/>
              </w:rPr>
              <w:t>0.3867</w:t>
            </w:r>
          </w:p>
        </w:tc>
        <w:tc>
          <w:tcPr>
            <w:tcW w:type="dxa" w:w="1805"/>
            <w:vAlign w:val="center"/>
          </w:tcPr>
          <w:p>
            <w:pPr>
              <w:jc w:val="left"/>
            </w:pPr>
            <w:r/>
            <w:r>
              <w:rPr>
                <w:rFonts w:ascii="Times New Roman" w:hAnsi="Times New Roman" w:eastAsia="Times New Roman"/>
                <w:b w:val="0"/>
                <w:sz w:val="19"/>
              </w:rPr>
              <w:t>Multi-market GRUMultiMarket became the most defensible standalone deep model.</w:t>
            </w:r>
          </w:p>
        </w:tc>
      </w:tr>
      <w:tr>
        <w:tc>
          <w:tcPr>
            <w:tcW w:type="dxa" w:w="1805"/>
            <w:vAlign w:val="center"/>
          </w:tcPr>
          <w:p>
            <w:pPr>
              <w:jc w:val="left"/>
            </w:pPr>
            <w:r/>
            <w:r>
              <w:rPr>
                <w:rFonts w:ascii="Times New Roman" w:hAnsi="Times New Roman" w:eastAsia="Times New Roman"/>
                <w:b w:val="0"/>
                <w:sz w:val="19"/>
              </w:rPr>
              <w:t>Phase 3</w:t>
            </w:r>
          </w:p>
        </w:tc>
        <w:tc>
          <w:tcPr>
            <w:tcW w:type="dxa" w:w="1805"/>
            <w:vAlign w:val="center"/>
          </w:tcPr>
          <w:p>
            <w:pPr>
              <w:jc w:val="left"/>
            </w:pPr>
            <w:r/>
            <w:r>
              <w:rPr>
                <w:rFonts w:ascii="Times New Roman" w:hAnsi="Times New Roman" w:eastAsia="Times New Roman"/>
                <w:b w:val="0"/>
                <w:sz w:val="19"/>
              </w:rPr>
              <w:t>E41-E76</w:t>
            </w:r>
          </w:p>
        </w:tc>
        <w:tc>
          <w:tcPr>
            <w:tcW w:type="dxa" w:w="1805"/>
            <w:vAlign w:val="center"/>
          </w:tcPr>
          <w:p>
            <w:pPr>
              <w:jc w:val="left"/>
            </w:pPr>
            <w:r/>
            <w:r>
              <w:rPr>
                <w:rFonts w:ascii="Times New Roman" w:hAnsi="Times New Roman" w:eastAsia="Times New Roman"/>
                <w:b w:val="0"/>
                <w:sz w:val="19"/>
              </w:rPr>
              <w:t>E75</w:t>
            </w:r>
          </w:p>
        </w:tc>
        <w:tc>
          <w:tcPr>
            <w:tcW w:type="dxa" w:w="1805"/>
            <w:vAlign w:val="center"/>
          </w:tcPr>
          <w:p>
            <w:pPr>
              <w:jc w:val="center"/>
            </w:pPr>
            <w:r/>
            <w:r>
              <w:rPr>
                <w:rFonts w:ascii="Times New Roman" w:hAnsi="Times New Roman" w:eastAsia="Times New Roman"/>
                <w:b w:val="0"/>
                <w:sz w:val="19"/>
              </w:rPr>
              <w:t>0.4323</w:t>
            </w:r>
          </w:p>
        </w:tc>
        <w:tc>
          <w:tcPr>
            <w:tcW w:type="dxa" w:w="1805"/>
            <w:vAlign w:val="center"/>
          </w:tcPr>
          <w:p>
            <w:pPr>
              <w:jc w:val="left"/>
            </w:pPr>
            <w:r/>
            <w:r>
              <w:rPr>
                <w:rFonts w:ascii="Times New Roman" w:hAnsi="Times New Roman" w:eastAsia="Times New Roman"/>
                <w:b w:val="0"/>
                <w:sz w:val="19"/>
              </w:rPr>
              <w:t>Completed classical baselines and nonlinear stacking pushed the practical score ceiling.</w:t>
            </w:r>
          </w:p>
        </w:tc>
      </w:tr>
      <w:tr>
        <w:tc>
          <w:tcPr>
            <w:tcW w:type="dxa" w:w="1805"/>
            <w:vAlign w:val="center"/>
          </w:tcPr>
          <w:p>
            <w:pPr>
              <w:jc w:val="left"/>
            </w:pPr>
            <w:r/>
            <w:r>
              <w:rPr>
                <w:rFonts w:ascii="Times New Roman" w:hAnsi="Times New Roman" w:eastAsia="Times New Roman"/>
                <w:b w:val="0"/>
                <w:sz w:val="19"/>
              </w:rPr>
              <w:t>Phase 4</w:t>
            </w:r>
          </w:p>
        </w:tc>
        <w:tc>
          <w:tcPr>
            <w:tcW w:type="dxa" w:w="1805"/>
            <w:vAlign w:val="center"/>
          </w:tcPr>
          <w:p>
            <w:pPr>
              <w:jc w:val="left"/>
            </w:pPr>
            <w:r/>
            <w:r>
              <w:rPr>
                <w:rFonts w:ascii="Times New Roman" w:hAnsi="Times New Roman" w:eastAsia="Times New Roman"/>
                <w:b w:val="0"/>
                <w:sz w:val="19"/>
              </w:rPr>
              <w:t>E77-E81</w:t>
            </w:r>
          </w:p>
        </w:tc>
        <w:tc>
          <w:tcPr>
            <w:tcW w:type="dxa" w:w="1805"/>
            <w:vAlign w:val="center"/>
          </w:tcPr>
          <w:p>
            <w:pPr>
              <w:jc w:val="left"/>
            </w:pPr>
            <w:r/>
            <w:r>
              <w:rPr>
                <w:rFonts w:ascii="Times New Roman" w:hAnsi="Times New Roman" w:eastAsia="Times New Roman"/>
                <w:b w:val="0"/>
                <w:sz w:val="19"/>
              </w:rPr>
              <w:t>E81</w:t>
            </w:r>
          </w:p>
        </w:tc>
        <w:tc>
          <w:tcPr>
            <w:tcW w:type="dxa" w:w="1805"/>
            <w:vAlign w:val="center"/>
          </w:tcPr>
          <w:p>
            <w:pPr>
              <w:jc w:val="center"/>
            </w:pPr>
            <w:r/>
            <w:r>
              <w:rPr>
                <w:rFonts w:ascii="Times New Roman" w:hAnsi="Times New Roman" w:eastAsia="Times New Roman"/>
                <w:b w:val="0"/>
                <w:sz w:val="19"/>
              </w:rPr>
              <w:t>0.4388</w:t>
            </w:r>
          </w:p>
        </w:tc>
        <w:tc>
          <w:tcPr>
            <w:tcW w:type="dxa" w:w="1805"/>
            <w:vAlign w:val="center"/>
          </w:tcPr>
          <w:p>
            <w:pPr>
              <w:jc w:val="left"/>
            </w:pPr>
            <w:r/>
            <w:r>
              <w:rPr>
                <w:rFonts w:ascii="Times New Roman" w:hAnsi="Times New Roman" w:eastAsia="Times New Roman"/>
                <w:b w:val="0"/>
                <w:sz w:val="19"/>
              </w:rPr>
              <w:t>Mechanism-aware CatBoost plus forced closeout fusion yielded the final best overall result.</w:t>
            </w:r>
          </w:p>
        </w:tc>
      </w:tr>
    </w:tbl>
    <w:p/>
    <w:p>
      <w:pPr>
        <w:pStyle w:val="Heading1"/>
      </w:pPr>
      <w:r>
        <w:t>Discussion</w:t>
      </w:r>
    </w:p>
    <w:p>
      <w:pPr>
        <w:ind w:firstLine="420"/>
        <w:jc w:val="both"/>
      </w:pPr>
      <w:r>
        <w:t>Several clear lessons emerge from the full experiment record. First, standalone deep learning did not beat the strongest standalone classical baselines on the matched final task. E49 is a meaningful and stable deep result, but it remains below E43 and E44 when each is evaluated as a standalone model. Second, this does not imply that deep learning lacked value. The fusion results show the opposite: the deep multi-market representation contributed complementary information that repeatedly improved overall performance when combined with strong classical members.</w:t>
      </w:r>
    </w:p>
    <w:p>
      <w:pPr>
        <w:ind w:firstLine="420"/>
        <w:jc w:val="both"/>
      </w:pPr>
      <w:r>
        <w:t>Third, not every plausible deep extension was worth continued investment. Early attention replacements and the first graph-inspired variants did not outperform the simpler GRUMultiMarket line. The renewables-track branch did not remain strong enough under later matched-budget checks to justify making it a main thesis claim. The mechanism-channel deep variant E79 also failed clearly, which helped narrow the project to a much more defensible ending position.</w:t>
      </w:r>
    </w:p>
    <w:p>
      <w:pPr>
        <w:ind w:firstLine="420"/>
        <w:jc w:val="both"/>
      </w:pPr>
      <w:r>
        <w:t>Fourth, the final phase clarified the difference between a reusable meta ceiling and a new trained member. E75 is important because it represents the strongest pure-meta reference built from previously trained strong members. E78 is important because it is a newly trained single model that almost reached the same level. E81 matters most because it combines those two lines and becomes the strongest overall result. This final outcome supports a balanced conclusion: the project did not end with a single deep model beating everything else, but it did show that learned temporal representations are valuable because they improve the best overall fused forecasting system.</w:t>
      </w:r>
    </w:p>
    <w:p>
      <w:pPr>
        <w:pStyle w:val="Heading1"/>
      </w:pPr>
      <w:r>
        <w:t>Conclusion</w:t>
      </w:r>
    </w:p>
    <w:p>
      <w:pPr>
        <w:ind w:firstLine="420"/>
        <w:jc w:val="both"/>
      </w:pPr>
      <w:r>
        <w:t>This course paper framed negative electricity pricing as a future event prediction problem and evaluated a broad set of classical, deep, and fusion models under a common leakage-free benchmark. The final hierarchy is clear. E81 is the best overall result with test PR-AUC = 0.4388. E75 is the strongest reusable pure-meta reference with test PR-AUC = 0.4323. E78 is the strongest newly trained final-phase single model with test PR-AUC = 0.4296. E49 remains the strongest stable standalone deep model with repeated-seed mean test PR-AUC = 0.3867. Within the matched simple machine-learning baselines, E41-E44 provide the final standalone benchmark family, with E43 CatBoost as the strongest single-model baseline.</w:t>
      </w:r>
    </w:p>
    <w:p>
      <w:pPr>
        <w:ind w:firstLine="420"/>
        <w:jc w:val="both"/>
      </w:pPr>
      <w:r>
        <w:t>These results place the project in a defensible stopping position. The benchmark is strong, the final experiment story is coherent, and the contribution is not merely that one model achieved the best score. Rather, the full program demonstrates that future negative-price event prediction benefits from a disciplined forecasting setup, strong classical baselines, and learned temporal representations that add complementary signal to the best tree-based models. Both the narrative and the final benchmark table therefore support a clear thesis closeout centered on E81 as the strongest overall result.</w:t>
      </w:r>
    </w:p>
    <w:p>
      <w:pPr>
        <w:pStyle w:val="Heading1"/>
      </w:pPr>
      <w:r>
        <w:t>Appendix</w:t>
      </w:r>
    </w:p>
    <w:p>
      <w:pPr>
        <w:jc w:val="center"/>
      </w:pPr>
      <w:r>
        <w:rPr>
          <w:rFonts w:ascii="Times New Roman" w:hAnsi="Times New Roman" w:eastAsia="Times New Roman"/>
          <w:b/>
          <w:sz w:val="22"/>
        </w:rPr>
        <w:t>Table A1. Full experiment registry with retained experiment-level test results.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
              <w:rPr>
                <w:rFonts w:ascii="Times New Roman" w:hAnsi="Times New Roman" w:eastAsia="Times New Roman"/>
                <w:b/>
                <w:sz w:val="19"/>
              </w:rPr>
              <w:t>Experiment</w:t>
            </w:r>
          </w:p>
        </w:tc>
        <w:tc>
          <w:tcPr>
            <w:tcW w:type="dxa" w:w="1805"/>
            <w:vAlign w:val="center"/>
          </w:tcPr>
          <w:p>
            <w:pPr>
              <w:jc w:val="center"/>
            </w:pPr>
            <w:r/>
            <w:r>
              <w:rPr>
                <w:rFonts w:ascii="Times New Roman" w:hAnsi="Times New Roman" w:eastAsia="Times New Roman"/>
                <w:b/>
                <w:sz w:val="19"/>
              </w:rPr>
              <w:t>Model / Family</w:t>
            </w:r>
          </w:p>
        </w:tc>
        <w:tc>
          <w:tcPr>
            <w:tcW w:type="dxa" w:w="1805"/>
            <w:vAlign w:val="center"/>
          </w:tcPr>
          <w:p>
            <w:pPr>
              <w:jc w:val="center"/>
            </w:pPr>
            <w:r/>
            <w:r>
              <w:rPr>
                <w:rFonts w:ascii="Times New Roman" w:hAnsi="Times New Roman" w:eastAsia="Times New Roman"/>
                <w:b/>
                <w:sz w:val="19"/>
              </w:rPr>
              <w:t>Status</w:t>
            </w:r>
          </w:p>
        </w:tc>
        <w:tc>
          <w:tcPr>
            <w:tcW w:type="dxa" w:w="1805"/>
            <w:vAlign w:val="center"/>
          </w:tcPr>
          <w:p>
            <w:pPr>
              <w:jc w:val="center"/>
            </w:pPr>
            <w:r/>
            <w:r>
              <w:rPr>
                <w:rFonts w:ascii="Times New Roman" w:hAnsi="Times New Roman" w:eastAsia="Times New Roman"/>
                <w:b/>
                <w:sz w:val="19"/>
              </w:rPr>
              <w:t>Test PR-AUC</w:t>
            </w:r>
          </w:p>
        </w:tc>
        <w:tc>
          <w:tcPr>
            <w:tcW w:type="dxa" w:w="1805"/>
            <w:vAlign w:val="center"/>
          </w:tcPr>
          <w:p>
            <w:pPr>
              <w:jc w:val="center"/>
            </w:pPr>
            <w:r/>
            <w:r>
              <w:rPr>
                <w:rFonts w:ascii="Times New Roman" w:hAnsi="Times New Roman" w:eastAsia="Times New Roman"/>
                <w:b/>
                <w:sz w:val="19"/>
              </w:rPr>
              <w:t>Note</w:t>
            </w:r>
          </w:p>
        </w:tc>
      </w:tr>
      <w:tr>
        <w:tc>
          <w:tcPr>
            <w:tcW w:type="dxa" w:w="1805"/>
            <w:vAlign w:val="center"/>
          </w:tcPr>
          <w:p>
            <w:pPr>
              <w:jc w:val="left"/>
            </w:pPr>
            <w:r/>
            <w:r>
              <w:rPr>
                <w:rFonts w:ascii="Times New Roman" w:hAnsi="Times New Roman" w:eastAsia="Times New Roman"/>
                <w:b w:val="0"/>
                <w:sz w:val="19"/>
              </w:rPr>
              <w:t>E1</w:t>
            </w:r>
          </w:p>
        </w:tc>
        <w:tc>
          <w:tcPr>
            <w:tcW w:type="dxa" w:w="1805"/>
            <w:vAlign w:val="center"/>
          </w:tcPr>
          <w:p>
            <w:pPr>
              <w:jc w:val="left"/>
            </w:pPr>
            <w:r/>
            <w:r>
              <w:rPr>
                <w:rFonts w:ascii="Times New Roman" w:hAnsi="Times New Roman" w:eastAsia="Times New Roman"/>
                <w:b w:val="0"/>
                <w:sz w:val="19"/>
              </w:rPr>
              <w:t>Majority</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0.0192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w:t>
            </w:r>
          </w:p>
        </w:tc>
        <w:tc>
          <w:tcPr>
            <w:tcW w:type="dxa" w:w="1805"/>
            <w:vAlign w:val="center"/>
          </w:tcPr>
          <w:p>
            <w:pPr>
              <w:jc w:val="left"/>
            </w:pPr>
            <w:r/>
            <w:r>
              <w:rPr>
                <w:rFonts w:ascii="Times New Roman" w:hAnsi="Times New Roman" w:eastAsia="Times New Roman"/>
                <w:b w:val="0"/>
                <w:sz w:val="19"/>
              </w:rPr>
              <w:t>Majority</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0.0190</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w:t>
            </w:r>
          </w:p>
        </w:tc>
        <w:tc>
          <w:tcPr>
            <w:tcW w:type="dxa" w:w="1805"/>
            <w:vAlign w:val="center"/>
          </w:tcPr>
          <w:p>
            <w:pPr>
              <w:jc w:val="left"/>
            </w:pPr>
            <w:r/>
            <w:r>
              <w:rPr>
                <w:rFonts w:ascii="Times New Roman" w:hAnsi="Times New Roman" w:eastAsia="Times New Roman"/>
                <w:b w:val="0"/>
                <w:sz w:val="19"/>
              </w:rPr>
              <w:t>Majority</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0.0212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E4</w:t>
            </w:r>
          </w:p>
        </w:tc>
        <w:tc>
          <w:tcPr>
            <w:tcW w:type="dxa" w:w="1805"/>
            <w:vAlign w:val="center"/>
          </w:tcPr>
          <w:p>
            <w:pPr>
              <w:jc w:val="left"/>
            </w:pPr>
            <w:r/>
            <w:r>
              <w:rPr>
                <w:rFonts w:ascii="Times New Roman" w:hAnsi="Times New Roman" w:eastAsia="Times New Roman"/>
                <w:b w:val="0"/>
                <w:sz w:val="19"/>
              </w:rPr>
              <w:t>Majority</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0.0214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w:t>
            </w:r>
          </w:p>
        </w:tc>
        <w:tc>
          <w:tcPr>
            <w:tcW w:type="dxa" w:w="1805"/>
            <w:vAlign w:val="center"/>
          </w:tcPr>
          <w:p>
            <w:pPr>
              <w:jc w:val="left"/>
            </w:pPr>
            <w:r/>
            <w:r>
              <w:rPr>
                <w:rFonts w:ascii="Times New Roman" w:hAnsi="Times New Roman" w:eastAsia="Times New Roman"/>
                <w:b w:val="0"/>
                <w:sz w:val="19"/>
              </w:rPr>
              <w:t>Majority</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0.0197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0.3291</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w:t>
            </w:r>
          </w:p>
        </w:tc>
        <w:tc>
          <w:tcPr>
            <w:tcW w:type="dxa" w:w="1805"/>
            <w:vAlign w:val="center"/>
          </w:tcPr>
          <w:p>
            <w:pPr>
              <w:jc w:val="left"/>
            </w:pPr>
            <w:r/>
            <w:r>
              <w:rPr>
                <w:rFonts w:ascii="Times New Roman" w:hAnsi="Times New Roman" w:eastAsia="Times New Roman"/>
                <w:b w:val="0"/>
                <w:sz w:val="19"/>
              </w:rPr>
              <w:t>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0.4057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E8</w:t>
            </w:r>
          </w:p>
        </w:tc>
        <w:tc>
          <w:tcPr>
            <w:tcW w:type="dxa" w:w="1805"/>
            <w:vAlign w:val="center"/>
          </w:tcPr>
          <w:p>
            <w:pPr>
              <w:jc w:val="left"/>
            </w:pPr>
            <w:r/>
            <w:r>
              <w:rPr>
                <w:rFonts w:ascii="Times New Roman" w:hAnsi="Times New Roman" w:eastAsia="Times New Roman"/>
                <w:b w:val="0"/>
                <w:sz w:val="19"/>
              </w:rPr>
              <w:t>CatBoost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0.4161</w:t>
            </w:r>
          </w:p>
        </w:tc>
        <w:tc>
          <w:tcPr>
            <w:tcW w:type="dxa" w:w="1805"/>
            <w:vAlign w:val="center"/>
          </w:tcPr>
          <w:p>
            <w:pPr>
              <w:jc w:val="left"/>
            </w:pPr>
            <w:r/>
            <w:r>
              <w:rPr>
                <w:rFonts w:ascii="Times New Roman" w:hAnsi="Times New Roman" w:eastAsia="Times New Roman"/>
                <w:b w:val="0"/>
                <w:sz w:val="19"/>
              </w:rPr>
              <w:t>Historical early CatBoost benchmark; not part of the final matched main-table comparison.</w:t>
            </w:r>
          </w:p>
        </w:tc>
      </w:tr>
      <w:tr>
        <w:tc>
          <w:tcPr>
            <w:tcW w:type="dxa" w:w="1805"/>
            <w:vAlign w:val="center"/>
          </w:tcPr>
          <w:p>
            <w:pPr>
              <w:jc w:val="left"/>
            </w:pPr>
            <w:r/>
            <w:r>
              <w:rPr>
                <w:rFonts w:ascii="Times New Roman" w:hAnsi="Times New Roman" w:eastAsia="Times New Roman"/>
                <w:b w:val="0"/>
                <w:sz w:val="19"/>
              </w:rPr>
              <w:t>E9</w:t>
            </w:r>
          </w:p>
        </w:tc>
        <w:tc>
          <w:tcPr>
            <w:tcW w:type="dxa" w:w="1805"/>
            <w:vAlign w:val="center"/>
          </w:tcPr>
          <w:p>
            <w:pPr>
              <w:jc w:val="left"/>
            </w:pPr>
            <w:r/>
            <w:r>
              <w:rPr>
                <w:rFonts w:ascii="Times New Roman" w:hAnsi="Times New Roman" w:eastAsia="Times New Roman"/>
                <w:b w:val="0"/>
                <w:sz w:val="19"/>
              </w:rPr>
              <w:t>XGBoostWeightedCalibrated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0.3697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E10</w:t>
            </w:r>
          </w:p>
        </w:tc>
        <w:tc>
          <w:tcPr>
            <w:tcW w:type="dxa" w:w="1805"/>
            <w:vAlign w:val="center"/>
          </w:tcPr>
          <w:p>
            <w:pPr>
              <w:jc w:val="left"/>
            </w:pPr>
            <w:r/>
            <w:r>
              <w:rPr>
                <w:rFonts w:ascii="Times New Roman" w:hAnsi="Times New Roman" w:eastAsia="Times New Roman"/>
                <w:b w:val="0"/>
                <w:sz w:val="19"/>
              </w:rPr>
              <w:t>PatchTST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0.2259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E11</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0.2714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E12</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0.2918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E13</w:t>
            </w:r>
          </w:p>
        </w:tc>
        <w:tc>
          <w:tcPr>
            <w:tcW w:type="dxa" w:w="1805"/>
            <w:vAlign w:val="center"/>
          </w:tcPr>
          <w:p>
            <w:pPr>
              <w:jc w:val="left"/>
            </w:pPr>
            <w:r/>
            <w:r>
              <w:rPr>
                <w:rFonts w:ascii="Times New Roman" w:hAnsi="Times New Roman" w:eastAsia="Times New Roman"/>
                <w:b w:val="0"/>
                <w:sz w:val="19"/>
              </w:rPr>
              <w:t>TCN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0.2627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E14</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0.2844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E15A</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0.2219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E15B</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0.2665</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E16A</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0.5192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E16B</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0.3848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E17A</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0.2361</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E17B</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0.2665</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E18</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0.2627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E19</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0.2775</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E20</w:t>
            </w:r>
          </w:p>
        </w:tc>
        <w:tc>
          <w:tcPr>
            <w:tcW w:type="dxa" w:w="1805"/>
            <w:vAlign w:val="center"/>
          </w:tcPr>
          <w:p>
            <w:pPr>
              <w:jc w:val="left"/>
            </w:pPr>
            <w:r/>
            <w:r>
              <w:rPr>
                <w:rFonts w:ascii="Times New Roman" w:hAnsi="Times New Roman" w:eastAsia="Times New Roman"/>
                <w:b w:val="0"/>
                <w:sz w:val="19"/>
              </w:rPr>
              <w:t>GRU</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0.2574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E21</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0.2826</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E22A</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0.2624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E22B</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0.2735</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E23</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0.3077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E24</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0.2802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E25</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0.3001</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E26</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0.2909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E27</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0.3098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E28</w:t>
            </w:r>
          </w:p>
        </w:tc>
        <w:tc>
          <w:tcPr>
            <w:tcW w:type="dxa" w:w="1805"/>
            <w:vAlign w:val="center"/>
          </w:tcPr>
          <w:p>
            <w:pPr>
              <w:jc w:val="left"/>
            </w:pPr>
            <w:r/>
            <w:r>
              <w:rPr>
                <w:rFonts w:ascii="Times New Roman" w:hAnsi="Times New Roman" w:eastAsia="Times New Roman"/>
                <w:b w:val="0"/>
                <w:sz w:val="19"/>
              </w:rPr>
              <w:t>GRUHybrid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0.2864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E29</w:t>
            </w:r>
          </w:p>
        </w:tc>
        <w:tc>
          <w:tcPr>
            <w:tcW w:type="dxa" w:w="1805"/>
            <w:vAlign w:val="center"/>
          </w:tcPr>
          <w:p>
            <w:pPr>
              <w:jc w:val="left"/>
            </w:pPr>
            <w:r/>
            <w:r>
              <w:rPr>
                <w:rFonts w:ascii="Times New Roman" w:hAnsi="Times New Roman" w:eastAsia="Times New Roman"/>
                <w:b w:val="0"/>
                <w:sz w:val="19"/>
              </w:rPr>
              <w:t>GRUHybridAttn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0.3292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E30</w:t>
            </w:r>
          </w:p>
        </w:tc>
        <w:tc>
          <w:tcPr>
            <w:tcW w:type="dxa" w:w="1805"/>
            <w:vAlign w:val="center"/>
          </w:tcPr>
          <w:p>
            <w:pPr>
              <w:jc w:val="left"/>
            </w:pPr>
            <w:r/>
            <w:r>
              <w:rPr>
                <w:rFonts w:ascii="Times New Roman" w:hAnsi="Times New Roman" w:eastAsia="Times New Roman"/>
                <w:b w:val="0"/>
                <w:sz w:val="19"/>
              </w:rPr>
              <w:t>GRUHybridGated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0.3399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E31</w:t>
            </w:r>
          </w:p>
        </w:tc>
        <w:tc>
          <w:tcPr>
            <w:tcW w:type="dxa" w:w="1805"/>
            <w:vAlign w:val="center"/>
          </w:tcPr>
          <w:p>
            <w:pPr>
              <w:jc w:val="left"/>
            </w:pPr>
            <w:r/>
            <w:r>
              <w:rPr>
                <w:rFonts w:ascii="Times New Roman" w:hAnsi="Times New Roman" w:eastAsia="Times New Roman"/>
                <w:b w:val="0"/>
                <w:sz w:val="19"/>
              </w:rPr>
              <w:t>GRUHybridGated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0.3338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E32</w:t>
            </w:r>
          </w:p>
        </w:tc>
        <w:tc>
          <w:tcPr>
            <w:tcW w:type="dxa" w:w="1805"/>
            <w:vAlign w:val="center"/>
          </w:tcPr>
          <w:p>
            <w:pPr>
              <w:jc w:val="left"/>
            </w:pPr>
            <w:r/>
            <w:r>
              <w:rPr>
                <w:rFonts w:ascii="Times New Roman" w:hAnsi="Times New Roman" w:eastAsia="Times New Roman"/>
                <w:b w:val="0"/>
                <w:sz w:val="19"/>
              </w:rPr>
              <w:t>GRUHybridGatedMultiTask</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0.2890</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E33</w:t>
            </w:r>
          </w:p>
        </w:tc>
        <w:tc>
          <w:tcPr>
            <w:tcW w:type="dxa" w:w="1805"/>
            <w:vAlign w:val="center"/>
          </w:tcPr>
          <w:p>
            <w:pPr>
              <w:jc w:val="left"/>
            </w:pPr>
            <w:r/>
            <w:r>
              <w:rPr>
                <w:rFonts w:ascii="Times New Roman" w:hAnsi="Times New Roman" w:eastAsia="Times New Roman"/>
                <w:b w:val="0"/>
                <w:sz w:val="19"/>
              </w:rPr>
              <w:t>GRUHybridGated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0.3128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E34</w:t>
            </w:r>
          </w:p>
        </w:tc>
        <w:tc>
          <w:tcPr>
            <w:tcW w:type="dxa" w:w="1805"/>
            <w:vAlign w:val="center"/>
          </w:tcPr>
          <w:p>
            <w:pPr>
              <w:jc w:val="left"/>
            </w:pPr>
            <w:r/>
            <w:r>
              <w:rPr>
                <w:rFonts w:ascii="Times New Roman" w:hAnsi="Times New Roman" w:eastAsia="Times New Roman"/>
                <w:b w:val="0"/>
                <w:sz w:val="19"/>
              </w:rPr>
              <w:t>GRUHybridGated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0.3099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E35</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0.3691</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E36</w:t>
            </w:r>
          </w:p>
        </w:tc>
        <w:tc>
          <w:tcPr>
            <w:tcW w:type="dxa" w:w="1805"/>
            <w:vAlign w:val="center"/>
          </w:tcPr>
          <w:p>
            <w:pPr>
              <w:jc w:val="left"/>
            </w:pPr>
            <w:r/>
            <w:r>
              <w:rPr>
                <w:rFonts w:ascii="Times New Roman" w:hAnsi="Times New Roman" w:eastAsia="Times New Roman"/>
                <w:b w:val="0"/>
                <w:sz w:val="19"/>
              </w:rPr>
              <w:t>CalibratedLateFusion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0.3364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E37</w:t>
            </w:r>
          </w:p>
        </w:tc>
        <w:tc>
          <w:tcPr>
            <w:tcW w:type="dxa" w:w="1805"/>
            <w:vAlign w:val="center"/>
          </w:tcPr>
          <w:p>
            <w:pPr>
              <w:jc w:val="left"/>
            </w:pPr>
            <w:r/>
            <w:r>
              <w:rPr>
                <w:rFonts w:ascii="Times New Roman" w:hAnsi="Times New Roman" w:eastAsia="Times New Roman"/>
                <w:b w:val="0"/>
                <w:sz w:val="19"/>
              </w:rPr>
              <w:t>GRUHybridGated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0.3494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E38</w:t>
            </w:r>
          </w:p>
        </w:tc>
        <w:tc>
          <w:tcPr>
            <w:tcW w:type="dxa" w:w="1805"/>
            <w:vAlign w:val="center"/>
          </w:tcPr>
          <w:p>
            <w:pPr>
              <w:jc w:val="left"/>
            </w:pPr>
            <w:r/>
            <w:r>
              <w:rPr>
                <w:rFonts w:ascii="Times New Roman" w:hAnsi="Times New Roman" w:eastAsia="Times New Roman"/>
                <w:b w:val="0"/>
                <w:sz w:val="19"/>
              </w:rPr>
              <w:t>GRUHybridGated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0.3297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E39</w:t>
            </w:r>
          </w:p>
        </w:tc>
        <w:tc>
          <w:tcPr>
            <w:tcW w:type="dxa" w:w="1805"/>
            <w:vAlign w:val="center"/>
          </w:tcPr>
          <w:p>
            <w:pPr>
              <w:jc w:val="left"/>
            </w:pPr>
            <w:r/>
            <w:r>
              <w:rPr>
                <w:rFonts w:ascii="Times New Roman" w:hAnsi="Times New Roman" w:eastAsia="Times New Roman"/>
                <w:b w:val="0"/>
                <w:sz w:val="19"/>
              </w:rPr>
              <w:t>StackingLogisticRegression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0.3312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E40</w:t>
            </w:r>
          </w:p>
        </w:tc>
        <w:tc>
          <w:tcPr>
            <w:tcW w:type="dxa" w:w="1805"/>
            <w:vAlign w:val="center"/>
          </w:tcPr>
          <w:p>
            <w:pPr>
              <w:jc w:val="left"/>
            </w:pPr>
            <w:r/>
            <w:r>
              <w:rPr>
                <w:rFonts w:ascii="Times New Roman" w:hAnsi="Times New Roman" w:eastAsia="Times New Roman"/>
                <w:b w:val="0"/>
                <w:sz w:val="19"/>
              </w:rPr>
              <w:t>CrossSeedEnsemble</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0.3385</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E41</w:t>
            </w:r>
          </w:p>
        </w:tc>
        <w:tc>
          <w:tcPr>
            <w:tcW w:type="dxa" w:w="1805"/>
            <w:vAlign w:val="center"/>
          </w:tcPr>
          <w:p>
            <w:pPr>
              <w:jc w:val="left"/>
            </w:pPr>
            <w:r/>
            <w:r>
              <w:rPr>
                <w:rFonts w:ascii="Times New Roman" w:hAnsi="Times New Roman" w:eastAsia="Times New Roman"/>
                <w:b w:val="0"/>
                <w:sz w:val="19"/>
              </w:rPr>
              <w:t>LogisticRegression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0.2528</w:t>
            </w:r>
          </w:p>
        </w:tc>
        <w:tc>
          <w:tcPr>
            <w:tcW w:type="dxa" w:w="1805"/>
            <w:vAlign w:val="center"/>
          </w:tcPr>
          <w:p>
            <w:pPr>
              <w:jc w:val="left"/>
            </w:pPr>
            <w:r/>
            <w:r>
              <w:rPr>
                <w:rFonts w:ascii="Times New Roman" w:hAnsi="Times New Roman" w:eastAsia="Times New Roman"/>
                <w:b w:val="0"/>
                <w:sz w:val="19"/>
              </w:rPr>
              <w:t>Simple matched machine-learning baseline.</w:t>
            </w:r>
          </w:p>
        </w:tc>
      </w:tr>
      <w:tr>
        <w:tc>
          <w:tcPr>
            <w:tcW w:type="dxa" w:w="1805"/>
            <w:vAlign w:val="center"/>
          </w:tcPr>
          <w:p>
            <w:pPr>
              <w:jc w:val="left"/>
            </w:pPr>
            <w:r/>
            <w:r>
              <w:rPr>
                <w:rFonts w:ascii="Times New Roman" w:hAnsi="Times New Roman" w:eastAsia="Times New Roman"/>
                <w:b w:val="0"/>
                <w:sz w:val="19"/>
              </w:rPr>
              <w:t>E42</w:t>
            </w:r>
          </w:p>
        </w:tc>
        <w:tc>
          <w:tcPr>
            <w:tcW w:type="dxa" w:w="1805"/>
            <w:vAlign w:val="center"/>
          </w:tcPr>
          <w:p>
            <w:pPr>
              <w:jc w:val="left"/>
            </w:pPr>
            <w:r/>
            <w:r>
              <w:rPr>
                <w:rFonts w:ascii="Times New Roman" w:hAnsi="Times New Roman" w:eastAsia="Times New Roman"/>
                <w:b w:val="0"/>
                <w:sz w:val="19"/>
              </w:rPr>
              <w:t>XGBoost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0.4066</w:t>
            </w:r>
          </w:p>
        </w:tc>
        <w:tc>
          <w:tcPr>
            <w:tcW w:type="dxa" w:w="1805"/>
            <w:vAlign w:val="center"/>
          </w:tcPr>
          <w:p>
            <w:pPr>
              <w:jc w:val="left"/>
            </w:pPr>
            <w:r/>
            <w:r>
              <w:rPr>
                <w:rFonts w:ascii="Times New Roman" w:hAnsi="Times New Roman" w:eastAsia="Times New Roman"/>
                <w:b w:val="0"/>
                <w:sz w:val="19"/>
              </w:rPr>
              <w:t>Strong matched XGBoost baseline.</w:t>
            </w:r>
          </w:p>
        </w:tc>
      </w:tr>
      <w:tr>
        <w:tc>
          <w:tcPr>
            <w:tcW w:type="dxa" w:w="1805"/>
            <w:vAlign w:val="center"/>
          </w:tcPr>
          <w:p>
            <w:pPr>
              <w:jc w:val="left"/>
            </w:pPr>
            <w:r/>
            <w:r>
              <w:rPr>
                <w:rFonts w:ascii="Times New Roman" w:hAnsi="Times New Roman" w:eastAsia="Times New Roman"/>
                <w:b w:val="0"/>
                <w:sz w:val="19"/>
              </w:rPr>
              <w:t>E43</w:t>
            </w:r>
          </w:p>
        </w:tc>
        <w:tc>
          <w:tcPr>
            <w:tcW w:type="dxa" w:w="1805"/>
            <w:vAlign w:val="center"/>
          </w:tcPr>
          <w:p>
            <w:pPr>
              <w:jc w:val="left"/>
            </w:pPr>
            <w:r/>
            <w:r>
              <w:rPr>
                <w:rFonts w:ascii="Times New Roman" w:hAnsi="Times New Roman" w:eastAsia="Times New Roman"/>
                <w:b w:val="0"/>
                <w:sz w:val="19"/>
              </w:rPr>
              <w:t>CatBoost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0.4147</w:t>
            </w:r>
          </w:p>
        </w:tc>
        <w:tc>
          <w:tcPr>
            <w:tcW w:type="dxa" w:w="1805"/>
            <w:vAlign w:val="center"/>
          </w:tcPr>
          <w:p>
            <w:pPr>
              <w:jc w:val="left"/>
            </w:pPr>
            <w:r/>
            <w:r>
              <w:rPr>
                <w:rFonts w:ascii="Times New Roman" w:hAnsi="Times New Roman" w:eastAsia="Times New Roman"/>
                <w:b w:val="0"/>
                <w:sz w:val="19"/>
              </w:rPr>
              <w:t>Strongest matched classical single-model baseline.</w:t>
            </w:r>
          </w:p>
        </w:tc>
      </w:tr>
      <w:tr>
        <w:tc>
          <w:tcPr>
            <w:tcW w:type="dxa" w:w="1805"/>
            <w:vAlign w:val="center"/>
          </w:tcPr>
          <w:p>
            <w:pPr>
              <w:jc w:val="left"/>
            </w:pPr>
            <w:r/>
            <w:r>
              <w:rPr>
                <w:rFonts w:ascii="Times New Roman" w:hAnsi="Times New Roman" w:eastAsia="Times New Roman"/>
                <w:b w:val="0"/>
                <w:sz w:val="19"/>
              </w:rPr>
              <w:t>E44</w:t>
            </w:r>
          </w:p>
        </w:tc>
        <w:tc>
          <w:tcPr>
            <w:tcW w:type="dxa" w:w="1805"/>
            <w:vAlign w:val="center"/>
          </w:tcPr>
          <w:p>
            <w:pPr>
              <w:jc w:val="left"/>
            </w:pPr>
            <w:r/>
            <w:r>
              <w:rPr>
                <w:rFonts w:ascii="Times New Roman" w:hAnsi="Times New Roman" w:eastAsia="Times New Roman"/>
                <w:b w:val="0"/>
                <w:sz w:val="19"/>
              </w:rPr>
              <w:t>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0.4139</w:t>
            </w:r>
          </w:p>
        </w:tc>
        <w:tc>
          <w:tcPr>
            <w:tcW w:type="dxa" w:w="1805"/>
            <w:vAlign w:val="center"/>
          </w:tcPr>
          <w:p>
            <w:pPr>
              <w:jc w:val="left"/>
            </w:pPr>
            <w:r/>
            <w:r>
              <w:rPr>
                <w:rFonts w:ascii="Times New Roman" w:hAnsi="Times New Roman" w:eastAsia="Times New Roman"/>
                <w:b w:val="0"/>
                <w:sz w:val="19"/>
              </w:rPr>
              <w:t>Near-tied LightGBM classical benchmark.</w:t>
            </w:r>
          </w:p>
        </w:tc>
      </w:tr>
      <w:tr>
        <w:tc>
          <w:tcPr>
            <w:tcW w:type="dxa" w:w="1805"/>
            <w:vAlign w:val="center"/>
          </w:tcPr>
          <w:p>
            <w:pPr>
              <w:jc w:val="left"/>
            </w:pPr>
            <w:r/>
            <w:r>
              <w:rPr>
                <w:rFonts w:ascii="Times New Roman" w:hAnsi="Times New Roman" w:eastAsia="Times New Roman"/>
                <w:b w:val="0"/>
                <w:sz w:val="19"/>
              </w:rPr>
              <w:t>E45</w:t>
            </w:r>
          </w:p>
        </w:tc>
        <w:tc>
          <w:tcPr>
            <w:tcW w:type="dxa" w:w="1805"/>
            <w:vAlign w:val="center"/>
          </w:tcPr>
          <w:p>
            <w:pPr>
              <w:jc w:val="left"/>
            </w:pPr>
            <w:r/>
            <w:r>
              <w:rPr>
                <w:rFonts w:ascii="Times New Roman" w:hAnsi="Times New Roman" w:eastAsia="Times New Roman"/>
                <w:b w:val="0"/>
                <w:sz w:val="19"/>
              </w:rPr>
              <w:t>GRUMultiMarket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0.3880</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E46</w:t>
            </w:r>
          </w:p>
        </w:tc>
        <w:tc>
          <w:tcPr>
            <w:tcW w:type="dxa" w:w="1805"/>
            <w:vAlign w:val="center"/>
          </w:tcPr>
          <w:p>
            <w:pPr>
              <w:jc w:val="left"/>
            </w:pPr>
            <w:r/>
            <w:r>
              <w:rPr>
                <w:rFonts w:ascii="Times New Roman" w:hAnsi="Times New Roman" w:eastAsia="Times New Roman"/>
                <w:b w:val="0"/>
                <w:sz w:val="19"/>
              </w:rPr>
              <w:t>GraphTemporal</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0.3168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E47</w:t>
            </w:r>
          </w:p>
        </w:tc>
        <w:tc>
          <w:tcPr>
            <w:tcW w:type="dxa" w:w="1805"/>
            <w:vAlign w:val="center"/>
          </w:tcPr>
          <w:p>
            <w:pPr>
              <w:jc w:val="left"/>
            </w:pPr>
            <w:r/>
            <w:r>
              <w:rPr>
                <w:rFonts w:ascii="Times New Roman" w:hAnsi="Times New Roman" w:eastAsia="Times New Roman"/>
                <w:b w:val="0"/>
                <w:sz w:val="19"/>
              </w:rPr>
              <w:t>GraphTemporalHybrid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0.3126</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E49</w:t>
            </w:r>
          </w:p>
        </w:tc>
        <w:tc>
          <w:tcPr>
            <w:tcW w:type="dxa" w:w="1805"/>
            <w:vAlign w:val="center"/>
          </w:tcPr>
          <w:p>
            <w:pPr>
              <w:jc w:val="left"/>
            </w:pPr>
            <w:r/>
            <w:r>
              <w:rPr>
                <w:rFonts w:ascii="Times New Roman" w:hAnsi="Times New Roman" w:eastAsia="Times New Roman"/>
                <w:b w:val="0"/>
                <w:sz w:val="19"/>
              </w:rPr>
              <w:t>GRUMultiMarket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0.3867</w:t>
            </w:r>
          </w:p>
        </w:tc>
        <w:tc>
          <w:tcPr>
            <w:tcW w:type="dxa" w:w="1805"/>
            <w:vAlign w:val="center"/>
          </w:tcPr>
          <w:p>
            <w:pPr>
              <w:jc w:val="left"/>
            </w:pPr>
            <w:r/>
            <w:r>
              <w:rPr>
                <w:rFonts w:ascii="Times New Roman" w:hAnsi="Times New Roman" w:eastAsia="Times New Roman"/>
                <w:b w:val="0"/>
                <w:sz w:val="19"/>
              </w:rPr>
              <w:t>Repeated-seed mean retained as the stable standalone deep result.</w:t>
            </w:r>
          </w:p>
        </w:tc>
      </w:tr>
      <w:tr>
        <w:tc>
          <w:tcPr>
            <w:tcW w:type="dxa" w:w="1805"/>
            <w:vAlign w:val="center"/>
          </w:tcPr>
          <w:p>
            <w:pPr>
              <w:jc w:val="left"/>
            </w:pPr>
            <w:r/>
            <w:r>
              <w:rPr>
                <w:rFonts w:ascii="Times New Roman" w:hAnsi="Times New Roman" w:eastAsia="Times New Roman"/>
                <w:b w:val="0"/>
                <w:sz w:val="19"/>
              </w:rPr>
              <w:t>E50</w:t>
            </w:r>
          </w:p>
        </w:tc>
        <w:tc>
          <w:tcPr>
            <w:tcW w:type="dxa" w:w="1805"/>
            <w:vAlign w:val="center"/>
          </w:tcPr>
          <w:p>
            <w:pPr>
              <w:jc w:val="left"/>
            </w:pPr>
            <w:r/>
            <w:r>
              <w:rPr>
                <w:rFonts w:ascii="Times New Roman" w:hAnsi="Times New Roman" w:eastAsia="Times New Roman"/>
                <w:b w:val="0"/>
                <w:sz w:val="19"/>
              </w:rPr>
              <w:t>GRUMultiMarketHybrid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0.3513</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E51</w:t>
            </w:r>
          </w:p>
        </w:tc>
        <w:tc>
          <w:tcPr>
            <w:tcW w:type="dxa" w:w="1805"/>
            <w:vAlign w:val="center"/>
          </w:tcPr>
          <w:p>
            <w:pPr>
              <w:jc w:val="left"/>
            </w:pPr>
            <w:r/>
            <w:r>
              <w:rPr>
                <w:rFonts w:ascii="Times New Roman" w:hAnsi="Times New Roman" w:eastAsia="Times New Roman"/>
                <w:b w:val="0"/>
                <w:sz w:val="19"/>
              </w:rPr>
              <w:t>GRUMultiMarketHybrid</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0.3633</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E52</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0.3772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E53</w:t>
            </w:r>
          </w:p>
        </w:tc>
        <w:tc>
          <w:tcPr>
            <w:tcW w:type="dxa" w:w="1805"/>
            <w:vAlign w:val="center"/>
          </w:tcPr>
          <w:p>
            <w:pPr>
              <w:jc w:val="left"/>
            </w:pPr>
            <w:r/>
            <w:r>
              <w:rPr>
                <w:rFonts w:ascii="Times New Roman" w:hAnsi="Times New Roman" w:eastAsia="Times New Roman"/>
                <w:b w:val="0"/>
                <w:sz w:val="19"/>
              </w:rPr>
              <w:t>GRUMultiMarketTargetAttn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0.3114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E54</w:t>
            </w:r>
          </w:p>
        </w:tc>
        <w:tc>
          <w:tcPr>
            <w:tcW w:type="dxa" w:w="1805"/>
            <w:vAlign w:val="center"/>
          </w:tcPr>
          <w:p>
            <w:pPr>
              <w:jc w:val="left"/>
            </w:pPr>
            <w:r/>
            <w:r>
              <w:rPr>
                <w:rFonts w:ascii="Times New Roman" w:hAnsi="Times New Roman" w:eastAsia="Times New Roman"/>
                <w:b w:val="0"/>
                <w:sz w:val="19"/>
              </w:rPr>
              <w:t>GRUMultiMarketTemporalAttn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0.2468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E55</w:t>
            </w:r>
          </w:p>
        </w:tc>
        <w:tc>
          <w:tcPr>
            <w:tcW w:type="dxa" w:w="1805"/>
            <w:vAlign w:val="center"/>
          </w:tcPr>
          <w:p>
            <w:pPr>
              <w:jc w:val="left"/>
            </w:pPr>
            <w:r/>
            <w:r>
              <w:rPr>
                <w:rFonts w:ascii="Times New Roman" w:hAnsi="Times New Roman" w:eastAsia="Times New Roman"/>
                <w:b w:val="0"/>
                <w:sz w:val="19"/>
              </w:rPr>
              <w:t>GRUMultiMarket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0.3614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E56</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0.4257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E57</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0.4216</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E58</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0.4281</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E59</w:t>
            </w:r>
          </w:p>
        </w:tc>
        <w:tc>
          <w:tcPr>
            <w:tcW w:type="dxa" w:w="1805"/>
            <w:vAlign w:val="center"/>
          </w:tcPr>
          <w:p>
            <w:pPr>
              <w:jc w:val="left"/>
            </w:pPr>
            <w:r/>
            <w:r>
              <w:rPr>
                <w:rFonts w:ascii="Times New Roman" w:hAnsi="Times New Roman" w:eastAsia="Times New Roman"/>
                <w:b w:val="0"/>
                <w:sz w:val="19"/>
              </w:rPr>
              <w:t>GRUMultiMarket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0.3738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E60</w:t>
            </w:r>
          </w:p>
        </w:tc>
        <w:tc>
          <w:tcPr>
            <w:tcW w:type="dxa" w:w="1805"/>
            <w:vAlign w:val="center"/>
          </w:tcPr>
          <w:p>
            <w:pPr>
              <w:jc w:val="left"/>
            </w:pPr>
            <w:r/>
            <w:r>
              <w:rPr>
                <w:rFonts w:ascii="Times New Roman" w:hAnsi="Times New Roman" w:eastAsia="Times New Roman"/>
                <w:b w:val="0"/>
                <w:sz w:val="19"/>
              </w:rPr>
              <w:t>GRUMultiMarket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0.3115</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E61</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0.4230</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E62</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0.4272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E63</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0.4284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E64</w:t>
            </w:r>
          </w:p>
        </w:tc>
        <w:tc>
          <w:tcPr>
            <w:tcW w:type="dxa" w:w="1805"/>
            <w:vAlign w:val="center"/>
          </w:tcPr>
          <w:p>
            <w:pPr>
              <w:jc w:val="left"/>
            </w:pPr>
            <w:r/>
            <w:r>
              <w:rPr>
                <w:rFonts w:ascii="Times New Roman" w:hAnsi="Times New Roman" w:eastAsia="Times New Roman"/>
                <w:b w:val="0"/>
                <w:sz w:val="19"/>
              </w:rPr>
              <w:t>StackingLogisticRegression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0.4215</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E65</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0.4321</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E66</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0.4279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E67</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0.4280</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E68</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0.3997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E69</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0.4014</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E70</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0.2521</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E71</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0.4288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E72</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0.4227</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E73</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0.4260</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E74</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0.4322</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E75</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0.4323</w:t>
            </w:r>
          </w:p>
        </w:tc>
        <w:tc>
          <w:tcPr>
            <w:tcW w:type="dxa" w:w="1805"/>
            <w:vAlign w:val="center"/>
          </w:tcPr>
          <w:p>
            <w:pPr>
              <w:jc w:val="left"/>
            </w:pPr>
            <w:r/>
            <w:r>
              <w:rPr>
                <w:rFonts w:ascii="Times New Roman" w:hAnsi="Times New Roman" w:eastAsia="Times New Roman"/>
                <w:b w:val="0"/>
                <w:sz w:val="19"/>
              </w:rPr>
              <w:t>Best pure-meta reference before final closeout fusion.</w:t>
            </w:r>
          </w:p>
        </w:tc>
      </w:tr>
      <w:tr>
        <w:tc>
          <w:tcPr>
            <w:tcW w:type="dxa" w:w="1805"/>
            <w:vAlign w:val="center"/>
          </w:tcPr>
          <w:p>
            <w:pPr>
              <w:jc w:val="left"/>
            </w:pPr>
            <w:r/>
            <w:r>
              <w:rPr>
                <w:rFonts w:ascii="Times New Roman" w:hAnsi="Times New Roman" w:eastAsia="Times New Roman"/>
                <w:b w:val="0"/>
                <w:sz w:val="19"/>
              </w:rPr>
              <w:t>E76</w:t>
            </w:r>
          </w:p>
        </w:tc>
        <w:tc>
          <w:tcPr>
            <w:tcW w:type="dxa" w:w="1805"/>
            <w:vAlign w:val="center"/>
          </w:tcPr>
          <w:p>
            <w:pPr>
              <w:jc w:val="left"/>
            </w:pPr>
            <w:r/>
            <w:r>
              <w:rPr>
                <w:rFonts w:ascii="Times New Roman" w:hAnsi="Times New Roman" w:eastAsia="Times New Roman"/>
                <w:b w:val="0"/>
                <w:sz w:val="19"/>
              </w:rPr>
              <w:t>StackingLightGBM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0.4289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E77</w:t>
            </w:r>
          </w:p>
        </w:tc>
        <w:tc>
          <w:tcPr>
            <w:tcW w:type="dxa" w:w="1805"/>
            <w:vAlign w:val="center"/>
          </w:tcPr>
          <w:p>
            <w:pPr>
              <w:jc w:val="left"/>
            </w:pPr>
            <w:r/>
            <w:r>
              <w:rPr>
                <w:rFonts w:ascii="Times New Roman" w:hAnsi="Times New Roman" w:eastAsia="Times New Roman"/>
                <w:b w:val="0"/>
                <w:sz w:val="19"/>
              </w:rPr>
              <w:t>LightGBM</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0.3968</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E78</w:t>
            </w:r>
          </w:p>
        </w:tc>
        <w:tc>
          <w:tcPr>
            <w:tcW w:type="dxa" w:w="1805"/>
            <w:vAlign w:val="center"/>
          </w:tcPr>
          <w:p>
            <w:pPr>
              <w:jc w:val="left"/>
            </w:pPr>
            <w:r/>
            <w:r>
              <w:rPr>
                <w:rFonts w:ascii="Times New Roman" w:hAnsi="Times New Roman" w:eastAsia="Times New Roman"/>
                <w:b w:val="0"/>
                <w:sz w:val="19"/>
              </w:rPr>
              <w:t>CatBoost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0.4296</w:t>
            </w:r>
          </w:p>
        </w:tc>
        <w:tc>
          <w:tcPr>
            <w:tcW w:type="dxa" w:w="1805"/>
            <w:vAlign w:val="center"/>
          </w:tcPr>
          <w:p>
            <w:pPr>
              <w:jc w:val="left"/>
            </w:pPr>
            <w:r/>
            <w:r>
              <w:rPr>
                <w:rFonts w:ascii="Times New Roman" w:hAnsi="Times New Roman" w:eastAsia="Times New Roman"/>
                <w:b w:val="0"/>
                <w:sz w:val="19"/>
              </w:rPr>
              <w:t>Best newly trained final-phase single model.</w:t>
            </w:r>
          </w:p>
        </w:tc>
      </w:tr>
      <w:tr>
        <w:tc>
          <w:tcPr>
            <w:tcW w:type="dxa" w:w="1805"/>
            <w:vAlign w:val="center"/>
          </w:tcPr>
          <w:p>
            <w:pPr>
              <w:jc w:val="left"/>
            </w:pPr>
            <w:r/>
            <w:r>
              <w:rPr>
                <w:rFonts w:ascii="Times New Roman" w:hAnsi="Times New Roman" w:eastAsia="Times New Roman"/>
                <w:b w:val="0"/>
                <w:sz w:val="19"/>
              </w:rPr>
              <w:t>E79</w:t>
            </w:r>
          </w:p>
        </w:tc>
        <w:tc>
          <w:tcPr>
            <w:tcW w:type="dxa" w:w="1805"/>
            <w:vAlign w:val="center"/>
          </w:tcPr>
          <w:p>
            <w:pPr>
              <w:jc w:val="left"/>
            </w:pPr>
            <w:r/>
            <w:r>
              <w:rPr>
                <w:rFonts w:ascii="Times New Roman" w:hAnsi="Times New Roman" w:eastAsia="Times New Roman"/>
                <w:b w:val="0"/>
                <w:sz w:val="19"/>
              </w:rPr>
              <w:t>GRUMultiMarket</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0.2999</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E80</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0.3870</w:t>
            </w:r>
          </w:p>
        </w:tc>
        <w:tc>
          <w:tcPr>
            <w:tcW w:type="dxa" w:w="1805"/>
            <w:vAlign w:val="center"/>
          </w:tcPr>
          <w:p>
            <w:pPr>
              <w:jc w:val="left"/>
            </w:pPr>
            <w:r/>
            <w:r>
              <w:rPr>
                <w:rFonts w:ascii="Times New Roman" w:hAnsi="Times New Roman" w:eastAsia="Times New Roman"/>
                <w:b w:val="0"/>
                <w:sz w:val="19"/>
              </w:rPr>
            </w:r>
          </w:p>
        </w:tc>
      </w:tr>
      <w:tr>
        <w:tc>
          <w:tcPr>
            <w:tcW w:type="dxa" w:w="1805"/>
            <w:vAlign w:val="center"/>
          </w:tcPr>
          <w:p>
            <w:pPr>
              <w:jc w:val="left"/>
            </w:pPr>
            <w:r/>
            <w:r>
              <w:rPr>
                <w:rFonts w:ascii="Times New Roman" w:hAnsi="Times New Roman" w:eastAsia="Times New Roman"/>
                <w:b w:val="0"/>
                <w:sz w:val="19"/>
              </w:rPr>
              <w:t>E81</w:t>
            </w:r>
          </w:p>
        </w:tc>
        <w:tc>
          <w:tcPr>
            <w:tcW w:type="dxa" w:w="1805"/>
            <w:vAlign w:val="center"/>
          </w:tcPr>
          <w:p>
            <w:pPr>
              <w:jc w:val="left"/>
            </w:pPr>
            <w:r/>
            <w:r>
              <w:rPr>
                <w:rFonts w:ascii="Times New Roman" w:hAnsi="Times New Roman" w:eastAsia="Times New Roman"/>
                <w:b w:val="0"/>
                <w:sz w:val="19"/>
              </w:rPr>
              <w:t>LateFusion</w:t>
            </w:r>
          </w:p>
        </w:tc>
        <w:tc>
          <w:tcPr>
            <w:tcW w:type="dxa" w:w="1805"/>
            <w:vAlign w:val="center"/>
          </w:tcPr>
          <w:p>
            <w:pPr>
              <w:jc w:val="left"/>
            </w:pPr>
            <w:r/>
            <w:r>
              <w:rPr>
                <w:rFonts w:ascii="Times New Roman" w:hAnsi="Times New Roman" w:eastAsia="Times New Roman"/>
                <w:b w:val="0"/>
                <w:sz w:val="19"/>
              </w:rPr>
              <w:t>completed</w:t>
            </w:r>
          </w:p>
        </w:tc>
        <w:tc>
          <w:tcPr>
            <w:tcW w:type="dxa" w:w="1805"/>
            <w:vAlign w:val="center"/>
          </w:tcPr>
          <w:p>
            <w:pPr>
              <w:jc w:val="center"/>
            </w:pPr>
            <w:r/>
            <w:r>
              <w:rPr>
                <w:rFonts w:ascii="Times New Roman" w:hAnsi="Times New Roman" w:eastAsia="Times New Roman"/>
                <w:b w:val="0"/>
                <w:sz w:val="19"/>
              </w:rPr>
              <w:t>0.4388</w:t>
            </w:r>
          </w:p>
        </w:tc>
        <w:tc>
          <w:tcPr>
            <w:tcW w:type="dxa" w:w="1805"/>
            <w:vAlign w:val="center"/>
          </w:tcPr>
          <w:p>
            <w:pPr>
              <w:jc w:val="left"/>
            </w:pPr>
            <w:r/>
            <w:r>
              <w:rPr>
                <w:rFonts w:ascii="Times New Roman" w:hAnsi="Times New Roman" w:eastAsia="Times New Roman"/>
                <w:b w:val="0"/>
                <w:sz w:val="19"/>
              </w:rPr>
              <w:t>Best overall final result used in the thesis.</w:t>
            </w:r>
          </w:p>
        </w:tc>
      </w:tr>
    </w:tbl>
    <w:p>
      <w:pPr>
        <w:ind w:firstLine="0"/>
        <w:jc w:val="both"/>
      </w:pPr>
      <w:r>
        <w:t>Table A1 reports the retained experiment-level test result for every locally completed experiment that has a valid top-level metrics file. Nested member runs, seed-run internals, and candidate-search subdirectories are excluded so that the appendix remains comparable at the experiment level.</w:t>
      </w:r>
    </w:p>
    <w:p>
      <w:pPr>
        <w:jc w:val="center"/>
      </w:pPr>
      <w:r>
        <w:rPr>
          <w:rFonts w:ascii="Times New Roman" w:hAnsi="Times New Roman" w:eastAsia="Times New Roman"/>
          <w:b/>
          <w:sz w:val="22"/>
        </w:rPr>
        <w:t>Table A2. Configured experiments without a retained final experiment-level result.</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jc w:val="center"/>
            </w:pPr>
            <w:r/>
            <w:r>
              <w:rPr>
                <w:rFonts w:ascii="Times New Roman" w:hAnsi="Times New Roman" w:eastAsia="Times New Roman"/>
                <w:b/>
                <w:sz w:val="19"/>
              </w:rPr>
              <w:t>Experiment</w:t>
            </w:r>
          </w:p>
        </w:tc>
        <w:tc>
          <w:tcPr>
            <w:tcW w:type="dxa" w:w="3009"/>
            <w:vAlign w:val="center"/>
          </w:tcPr>
          <w:p>
            <w:pPr>
              <w:jc w:val="center"/>
            </w:pPr>
            <w:r/>
            <w:r>
              <w:rPr>
                <w:rFonts w:ascii="Times New Roman" w:hAnsi="Times New Roman" w:eastAsia="Times New Roman"/>
                <w:b/>
                <w:sz w:val="19"/>
              </w:rPr>
              <w:t>Status</w:t>
            </w:r>
          </w:p>
        </w:tc>
        <w:tc>
          <w:tcPr>
            <w:tcW w:type="dxa" w:w="3009"/>
            <w:vAlign w:val="center"/>
          </w:tcPr>
          <w:p>
            <w:pPr>
              <w:jc w:val="center"/>
            </w:pPr>
            <w:r/>
            <w:r>
              <w:rPr>
                <w:rFonts w:ascii="Times New Roman" w:hAnsi="Times New Roman" w:eastAsia="Times New Roman"/>
                <w:b/>
                <w:sz w:val="19"/>
              </w:rPr>
              <w:t>Note</w:t>
            </w:r>
          </w:p>
        </w:tc>
      </w:tr>
      <w:tr>
        <w:tc>
          <w:tcPr>
            <w:tcW w:type="dxa" w:w="3009"/>
            <w:vAlign w:val="center"/>
          </w:tcPr>
          <w:p>
            <w:pPr>
              <w:jc w:val="left"/>
            </w:pPr>
            <w:r/>
            <w:r>
              <w:rPr>
                <w:rFonts w:ascii="Times New Roman" w:hAnsi="Times New Roman" w:eastAsia="Times New Roman"/>
                <w:b w:val="0"/>
                <w:sz w:val="19"/>
              </w:rPr>
              <w:t>E48</w:t>
            </w:r>
          </w:p>
        </w:tc>
        <w:tc>
          <w:tcPr>
            <w:tcW w:type="dxa" w:w="3009"/>
            <w:vAlign w:val="center"/>
          </w:tcPr>
          <w:p>
            <w:pPr>
              <w:jc w:val="left"/>
            </w:pPr>
            <w:r/>
            <w:r>
              <w:rPr>
                <w:rFonts w:ascii="Times New Roman" w:hAnsi="Times New Roman" w:eastAsia="Times New Roman"/>
                <w:b w:val="0"/>
                <w:sz w:val="19"/>
              </w:rPr>
              <w:t>not retained / not completed</w:t>
            </w:r>
          </w:p>
        </w:tc>
        <w:tc>
          <w:tcPr>
            <w:tcW w:type="dxa" w:w="3009"/>
            <w:vAlign w:val="center"/>
          </w:tcPr>
          <w:p>
            <w:pPr>
              <w:jc w:val="left"/>
            </w:pPr>
            <w:r/>
            <w:r>
              <w:rPr>
                <w:rFonts w:ascii="Times New Roman" w:hAnsi="Times New Roman" w:eastAsia="Times New Roman"/>
                <w:b w:val="0"/>
                <w:sz w:val="19"/>
              </w:rPr>
              <w:t>Repeated-seed graph-hybrid check was not retained as a final completed aggregate result.</w:t>
            </w:r>
          </w:p>
        </w:tc>
      </w:tr>
    </w:tbl>
    <w:p>
      <w:pPr>
        <w:ind w:firstLine="0"/>
        <w:jc w:val="both"/>
      </w:pPr>
      <w:r>
        <w:t>The experiments in Table A2 are part of the configured codebase but do not currently have a retained top-level final result available in local outputs.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hAnsi="Times New Roman" w:eastAsia="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