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2102" w14:textId="6ACC72C2" w:rsidR="00A34254" w:rsidRPr="00360CCB" w:rsidRDefault="008905C2" w:rsidP="00A34254">
      <w:pPr>
        <w:pStyle w:val="Heading1"/>
        <w:rPr>
          <w:sz w:val="40"/>
          <w:szCs w:val="40"/>
        </w:rPr>
      </w:pPr>
      <w:r w:rsidRPr="00360CCB">
        <w:rPr>
          <w:sz w:val="40"/>
          <w:szCs w:val="40"/>
        </w:rPr>
        <w:t xml:space="preserve">Power numerals in the general counting systems </w:t>
      </w:r>
      <w:r w:rsidR="00360CCB">
        <w:rPr>
          <w:sz w:val="40"/>
          <w:szCs w:val="40"/>
        </w:rPr>
        <w:br/>
      </w:r>
      <w:r w:rsidRPr="00360CCB">
        <w:rPr>
          <w:sz w:val="40"/>
          <w:szCs w:val="40"/>
        </w:rPr>
        <w:t xml:space="preserve">of </w:t>
      </w:r>
      <w:r w:rsidR="002D76A1" w:rsidRPr="00360CCB">
        <w:rPr>
          <w:sz w:val="40"/>
          <w:szCs w:val="40"/>
        </w:rPr>
        <w:t>Micronesia</w:t>
      </w:r>
    </w:p>
    <w:p w14:paraId="0F91CC1C" w14:textId="557A384D" w:rsidR="002D76A1" w:rsidRPr="00031CCC" w:rsidRDefault="00A34254" w:rsidP="00360CCB">
      <w:pPr>
        <w:pStyle w:val="Heading2"/>
      </w:pPr>
      <w:r>
        <w:t>Author, c</w:t>
      </w:r>
      <w:r w:rsidR="002D76A1" w:rsidRPr="00031CCC">
        <w:t>ontact</w:t>
      </w:r>
      <w:r>
        <w:t>,</w:t>
      </w:r>
      <w:r w:rsidR="002D76A1" w:rsidRPr="00031CCC">
        <w:t xml:space="preserve"> </w:t>
      </w:r>
      <w:r>
        <w:t xml:space="preserve">&amp; funding </w:t>
      </w:r>
      <w:r w:rsidR="002D76A1" w:rsidRPr="00031CCC">
        <w:t>information</w:t>
      </w:r>
      <w:r>
        <w:t xml:space="preserve"> </w:t>
      </w:r>
    </w:p>
    <w:p w14:paraId="04169698" w14:textId="779F8EC4" w:rsidR="00A34254" w:rsidRDefault="00A34254" w:rsidP="00A34254">
      <w:pPr>
        <w:pStyle w:val="Heading4"/>
      </w:pPr>
      <w:r>
        <w:t>Authors</w:t>
      </w:r>
    </w:p>
    <w:p w14:paraId="3F34FC4D" w14:textId="7EB3E090" w:rsidR="00A34254" w:rsidRPr="00723179" w:rsidRDefault="00A34254" w:rsidP="00A34254">
      <w:pPr>
        <w:rPr>
          <w:lang w:val="en-US"/>
        </w:rPr>
      </w:pPr>
      <w:r w:rsidRPr="00723179">
        <w:rPr>
          <w:lang w:val="en-US"/>
        </w:rPr>
        <w:t>Andrea Bender &amp; Sieghard Beller</w:t>
      </w:r>
    </w:p>
    <w:p w14:paraId="54DA6697" w14:textId="06A6B1FF" w:rsidR="00A34254" w:rsidRPr="00360CCB" w:rsidRDefault="00360CCB" w:rsidP="00A34254">
      <w:pPr>
        <w:pStyle w:val="Heading4"/>
        <w:rPr>
          <w:lang w:val="en-US"/>
        </w:rPr>
      </w:pPr>
      <w:r w:rsidRPr="00360CCB">
        <w:rPr>
          <w:lang w:val="en-US"/>
        </w:rPr>
        <w:t>Contact</w:t>
      </w:r>
    </w:p>
    <w:p w14:paraId="02E92606" w14:textId="77777777" w:rsidR="00360CCB" w:rsidRDefault="002D76A1" w:rsidP="00031CCC">
      <w:r w:rsidRPr="00031CCC">
        <w:t>Andrea Bender</w:t>
      </w:r>
      <w:r w:rsidR="00A34254">
        <w:br/>
      </w:r>
      <w:r w:rsidRPr="00031CCC">
        <w:t>Department of Psychosocial Science</w:t>
      </w:r>
      <w:r w:rsidR="00A34254">
        <w:br/>
      </w:r>
      <w:r w:rsidRPr="00031CCC">
        <w:t xml:space="preserve">&amp; SFF </w:t>
      </w:r>
      <w:r w:rsidRPr="00C2758E">
        <w:rPr>
          <w:i/>
          <w:iCs/>
        </w:rPr>
        <w:t>Centre for Early Sapiens Behaviour</w:t>
      </w:r>
      <w:r w:rsidRPr="00031CCC">
        <w:t xml:space="preserve"> (SapienCE)</w:t>
      </w:r>
      <w:r w:rsidR="003219D5" w:rsidRPr="003219D5">
        <w:rPr>
          <w:color w:val="ED7D31" w:themeColor="accent2"/>
        </w:rPr>
        <w:t xml:space="preserve"> </w:t>
      </w:r>
      <w:r w:rsidRPr="00031CCC">
        <w:br/>
        <w:t>University of Bergen, N-5020 Bergen, Norway</w:t>
      </w:r>
    </w:p>
    <w:p w14:paraId="6750186C" w14:textId="058CBADB" w:rsidR="002D76A1" w:rsidRPr="00360CCB" w:rsidRDefault="002D76A1" w:rsidP="00031CCC">
      <w:pPr>
        <w:rPr>
          <w:lang w:val="de-DE"/>
        </w:rPr>
      </w:pPr>
      <w:r w:rsidRPr="00360CCB">
        <w:rPr>
          <w:lang w:val="de-DE"/>
        </w:rPr>
        <w:t xml:space="preserve">e-mail: </w:t>
      </w:r>
      <w:hyperlink r:id="rId7" w:history="1">
        <w:r w:rsidR="00C2758E" w:rsidRPr="00360CCB">
          <w:rPr>
            <w:rStyle w:val="Hyperlink"/>
            <w:lang w:val="de-DE"/>
          </w:rPr>
          <w:t>Andrea.Bender@uib.no</w:t>
        </w:r>
      </w:hyperlink>
      <w:r w:rsidR="00C2758E" w:rsidRPr="00360CCB">
        <w:rPr>
          <w:lang w:val="de-DE"/>
        </w:rPr>
        <w:t xml:space="preserve"> </w:t>
      </w:r>
    </w:p>
    <w:p w14:paraId="7B2C647A" w14:textId="77777777" w:rsidR="00A34254" w:rsidRDefault="00A34254" w:rsidP="00A34254">
      <w:pPr>
        <w:pStyle w:val="Heading4"/>
      </w:pPr>
      <w:r w:rsidRPr="00A34254">
        <w:t>Funding</w:t>
      </w:r>
    </w:p>
    <w:p w14:paraId="6598D79E" w14:textId="67586B9E" w:rsidR="00A34254" w:rsidRPr="00031CCC" w:rsidRDefault="00A34254" w:rsidP="00031CCC">
      <w:r>
        <w:t>Synergy Grant of the European Research Council for the project "Evolution of Cognitive Tools for Quantification (QUANTA)", proposal number 951388.</w:t>
      </w:r>
    </w:p>
    <w:p w14:paraId="06C5E7AA" w14:textId="77777777" w:rsidR="00B02F70" w:rsidRPr="00031CCC" w:rsidRDefault="00B02F70" w:rsidP="00360CCB">
      <w:pPr>
        <w:pStyle w:val="Heading2"/>
      </w:pPr>
      <w:r w:rsidRPr="00031CCC">
        <w:t>Folder description</w:t>
      </w:r>
    </w:p>
    <w:p w14:paraId="042DF332" w14:textId="7173D383" w:rsidR="00801185" w:rsidRDefault="00B02F70" w:rsidP="00031CCC">
      <w:r w:rsidRPr="00031CCC">
        <w:t xml:space="preserve">The folder contains </w:t>
      </w:r>
      <w:r w:rsidR="00A34254">
        <w:t xml:space="preserve">four </w:t>
      </w:r>
      <w:r w:rsidR="00FB0C5E">
        <w:t>documents</w:t>
      </w:r>
      <w:r w:rsidR="00A34254">
        <w:t>, two of which in two different formats each</w:t>
      </w:r>
      <w:r w:rsidRPr="00031CCC">
        <w:t xml:space="preserve">: </w:t>
      </w:r>
    </w:p>
    <w:p w14:paraId="6C6F89C6" w14:textId="77BCD84A" w:rsidR="00801185" w:rsidRDefault="00B02F70" w:rsidP="00801185">
      <w:pPr>
        <w:pStyle w:val="ListParagraph"/>
        <w:numPr>
          <w:ilvl w:val="0"/>
          <w:numId w:val="2"/>
        </w:numPr>
      </w:pPr>
      <w:r w:rsidRPr="00031CCC">
        <w:t>this</w:t>
      </w:r>
      <w:r w:rsidR="00895189">
        <w:t xml:space="preserve"> </w:t>
      </w:r>
      <w:r w:rsidR="00895189" w:rsidRPr="004A34C8">
        <w:rPr>
          <w:b/>
          <w:bCs/>
        </w:rPr>
        <w:t>overview</w:t>
      </w:r>
      <w:r w:rsidR="003C2DC1">
        <w:t xml:space="preserve">, </w:t>
      </w:r>
      <w:r w:rsidR="003C2DC1">
        <w:br/>
        <w:t>once</w:t>
      </w:r>
      <w:r w:rsidR="00895189">
        <w:t xml:space="preserve"> </w:t>
      </w:r>
      <w:r w:rsidR="006862F1">
        <w:t>as formatted text</w:t>
      </w:r>
      <w:r w:rsidR="00D73E7D">
        <w:t xml:space="preserve"> (.pdf)</w:t>
      </w:r>
      <w:r w:rsidR="006862F1">
        <w:t>, labelled</w:t>
      </w:r>
      <w:r w:rsidR="006862F1" w:rsidRPr="00031CCC">
        <w:t xml:space="preserve"> </w:t>
      </w:r>
      <w:r w:rsidR="006862F1" w:rsidRPr="006862F1">
        <w:rPr>
          <w:iCs/>
          <w:color w:val="C00000"/>
        </w:rPr>
        <w:t>0</w:t>
      </w:r>
      <w:r w:rsidR="009C0BC3">
        <w:rPr>
          <w:iCs/>
          <w:color w:val="C00000"/>
        </w:rPr>
        <w:t>a</w:t>
      </w:r>
      <w:r w:rsidR="006862F1" w:rsidRPr="006862F1">
        <w:rPr>
          <w:iCs/>
          <w:color w:val="C00000"/>
        </w:rPr>
        <w:t>_ReadMe.pdf</w:t>
      </w:r>
      <w:r w:rsidR="006862F1">
        <w:t>,</w:t>
      </w:r>
      <w:r w:rsidR="006862F1">
        <w:br/>
        <w:t xml:space="preserve">and </w:t>
      </w:r>
      <w:r w:rsidR="00921C23">
        <w:t xml:space="preserve">once </w:t>
      </w:r>
      <w:r w:rsidR="00002798">
        <w:t>as plain text</w:t>
      </w:r>
      <w:r w:rsidR="00D73E7D">
        <w:t xml:space="preserve"> (.txt)</w:t>
      </w:r>
      <w:r w:rsidR="006862F1">
        <w:t>:</w:t>
      </w:r>
      <w:r w:rsidR="006862F1" w:rsidRPr="006862F1">
        <w:rPr>
          <w:iCs/>
        </w:rPr>
        <w:t xml:space="preserve"> </w:t>
      </w:r>
      <w:r w:rsidR="00895189" w:rsidRPr="006862F1">
        <w:rPr>
          <w:iCs/>
          <w:color w:val="C00000"/>
        </w:rPr>
        <w:t>0</w:t>
      </w:r>
      <w:r w:rsidR="009C0BC3">
        <w:rPr>
          <w:iCs/>
          <w:color w:val="C00000"/>
        </w:rPr>
        <w:t>b</w:t>
      </w:r>
      <w:r w:rsidR="00895189" w:rsidRPr="006862F1">
        <w:rPr>
          <w:iCs/>
          <w:color w:val="C00000"/>
        </w:rPr>
        <w:t>_R</w:t>
      </w:r>
      <w:r w:rsidRPr="006862F1">
        <w:rPr>
          <w:iCs/>
          <w:color w:val="C00000"/>
        </w:rPr>
        <w:t>ead</w:t>
      </w:r>
      <w:r w:rsidR="00895189" w:rsidRPr="006862F1">
        <w:rPr>
          <w:iCs/>
          <w:color w:val="C00000"/>
        </w:rPr>
        <w:t>M</w:t>
      </w:r>
      <w:r w:rsidRPr="006862F1">
        <w:rPr>
          <w:iCs/>
          <w:color w:val="C00000"/>
        </w:rPr>
        <w:t>e</w:t>
      </w:r>
      <w:r w:rsidR="00895189" w:rsidRPr="006862F1">
        <w:rPr>
          <w:iCs/>
          <w:color w:val="C00000"/>
        </w:rPr>
        <w:t>.</w:t>
      </w:r>
      <w:r w:rsidR="00002798" w:rsidRPr="006862F1">
        <w:rPr>
          <w:iCs/>
          <w:color w:val="C00000"/>
        </w:rPr>
        <w:t>txt</w:t>
      </w:r>
      <w:r w:rsidRPr="00895189">
        <w:t xml:space="preserve"> </w:t>
      </w:r>
    </w:p>
    <w:p w14:paraId="7DB026B0" w14:textId="269FB805" w:rsidR="00801185" w:rsidRDefault="00895189" w:rsidP="00801185">
      <w:pPr>
        <w:pStyle w:val="ListParagraph"/>
        <w:numPr>
          <w:ilvl w:val="0"/>
          <w:numId w:val="2"/>
        </w:numPr>
      </w:pPr>
      <w:r>
        <w:t>one</w:t>
      </w:r>
      <w:r w:rsidR="00B02F70" w:rsidRPr="00031CCC">
        <w:t xml:space="preserve"> </w:t>
      </w:r>
      <w:r w:rsidR="00B02F70" w:rsidRPr="004A34C8">
        <w:rPr>
          <w:b/>
          <w:bCs/>
        </w:rPr>
        <w:t>data file</w:t>
      </w:r>
      <w:r w:rsidR="00DD2053">
        <w:t xml:space="preserve">, </w:t>
      </w:r>
      <w:r w:rsidR="003C2DC1">
        <w:br/>
      </w:r>
      <w:r w:rsidR="00DD2053">
        <w:t>once in comma-delimited format (.csv)</w:t>
      </w:r>
      <w:r w:rsidR="006862F1">
        <w:t>:</w:t>
      </w:r>
      <w:r w:rsidR="00801185" w:rsidRPr="00031CCC">
        <w:t xml:space="preserve"> </w:t>
      </w:r>
      <w:r w:rsidR="004A34C8" w:rsidRPr="004A34C8">
        <w:rPr>
          <w:iCs/>
          <w:color w:val="C00000"/>
        </w:rPr>
        <w:t>1</w:t>
      </w:r>
      <w:r w:rsidR="00FB0C5E">
        <w:rPr>
          <w:iCs/>
          <w:color w:val="C00000"/>
        </w:rPr>
        <w:t>a</w:t>
      </w:r>
      <w:r w:rsidR="004A34C8" w:rsidRPr="004A34C8">
        <w:rPr>
          <w:iCs/>
          <w:color w:val="C00000"/>
        </w:rPr>
        <w:t>_dat_MicPowNum_202</w:t>
      </w:r>
      <w:r w:rsidR="00FB0C5E">
        <w:rPr>
          <w:iCs/>
          <w:color w:val="C00000"/>
        </w:rPr>
        <w:t>1</w:t>
      </w:r>
      <w:r w:rsidR="004A34C8" w:rsidRPr="004A34C8">
        <w:rPr>
          <w:iCs/>
          <w:color w:val="C00000"/>
        </w:rPr>
        <w:t>_0</w:t>
      </w:r>
      <w:r w:rsidR="00A34254">
        <w:rPr>
          <w:iCs/>
          <w:color w:val="C00000"/>
        </w:rPr>
        <w:t>4</w:t>
      </w:r>
      <w:r w:rsidRPr="006862F1">
        <w:rPr>
          <w:iCs/>
          <w:color w:val="C00000"/>
        </w:rPr>
        <w:t>.</w:t>
      </w:r>
      <w:r w:rsidR="00DD2053">
        <w:rPr>
          <w:iCs/>
          <w:color w:val="C00000"/>
        </w:rPr>
        <w:t>csv</w:t>
      </w:r>
      <w:r w:rsidR="00DD2053">
        <w:t>,</w:t>
      </w:r>
      <w:r w:rsidR="00DD2053">
        <w:br/>
        <w:t>and once in Unicode text format (.txt):</w:t>
      </w:r>
      <w:r w:rsidR="00DD2053" w:rsidRPr="00031CCC">
        <w:t xml:space="preserve"> </w:t>
      </w:r>
      <w:r w:rsidR="00C2758E" w:rsidRPr="00C2758E">
        <w:rPr>
          <w:iCs/>
          <w:color w:val="C00000"/>
        </w:rPr>
        <w:t>1</w:t>
      </w:r>
      <w:r w:rsidR="00C2758E">
        <w:rPr>
          <w:iCs/>
          <w:color w:val="C00000"/>
        </w:rPr>
        <w:t>b</w:t>
      </w:r>
      <w:r w:rsidR="00C2758E" w:rsidRPr="00C2758E">
        <w:rPr>
          <w:iCs/>
          <w:color w:val="C00000"/>
        </w:rPr>
        <w:t>_dat_</w:t>
      </w:r>
      <w:r w:rsidR="00FB0C5E" w:rsidRPr="004A34C8">
        <w:rPr>
          <w:iCs/>
          <w:color w:val="C00000"/>
        </w:rPr>
        <w:t>MicPowNum_202</w:t>
      </w:r>
      <w:r w:rsidR="00FB0C5E">
        <w:rPr>
          <w:iCs/>
          <w:color w:val="C00000"/>
        </w:rPr>
        <w:t>1</w:t>
      </w:r>
      <w:r w:rsidR="00FB0C5E" w:rsidRPr="004A34C8">
        <w:rPr>
          <w:iCs/>
          <w:color w:val="C00000"/>
        </w:rPr>
        <w:t>_0</w:t>
      </w:r>
      <w:r w:rsidR="00A34254">
        <w:rPr>
          <w:iCs/>
          <w:color w:val="C00000"/>
        </w:rPr>
        <w:t>4</w:t>
      </w:r>
      <w:r w:rsidR="00DD2053" w:rsidRPr="006862F1">
        <w:rPr>
          <w:iCs/>
          <w:color w:val="C00000"/>
        </w:rPr>
        <w:t>.</w:t>
      </w:r>
      <w:r w:rsidR="009C0BC3">
        <w:rPr>
          <w:iCs/>
          <w:color w:val="C00000"/>
        </w:rPr>
        <w:t>txt</w:t>
      </w:r>
    </w:p>
    <w:p w14:paraId="08EBD398" w14:textId="4B920108" w:rsidR="00A34254" w:rsidRDefault="00A34254" w:rsidP="00B33C39">
      <w:pPr>
        <w:pStyle w:val="ListParagraph"/>
        <w:numPr>
          <w:ilvl w:val="0"/>
          <w:numId w:val="4"/>
        </w:numPr>
      </w:pPr>
      <w:r>
        <w:t xml:space="preserve">one </w:t>
      </w:r>
      <w:r w:rsidR="00C70D32">
        <w:rPr>
          <w:b/>
          <w:bCs/>
        </w:rPr>
        <w:t xml:space="preserve">source </w:t>
      </w:r>
      <w:r w:rsidRPr="00C70D32">
        <w:rPr>
          <w:b/>
          <w:bCs/>
        </w:rPr>
        <w:t>file</w:t>
      </w:r>
      <w:r>
        <w:t xml:space="preserve">, in </w:t>
      </w:r>
      <w:r w:rsidRPr="00A34254">
        <w:rPr>
          <w:highlight w:val="yellow"/>
        </w:rPr>
        <w:t>xxx</w:t>
      </w:r>
      <w:r>
        <w:t xml:space="preserve"> format: </w:t>
      </w:r>
      <w:r>
        <w:rPr>
          <w:iCs/>
          <w:color w:val="C00000"/>
        </w:rPr>
        <w:t>2</w:t>
      </w:r>
      <w:r w:rsidRPr="006862F1">
        <w:rPr>
          <w:iCs/>
          <w:color w:val="C00000"/>
        </w:rPr>
        <w:t>_</w:t>
      </w:r>
      <w:r>
        <w:rPr>
          <w:iCs/>
          <w:color w:val="C00000"/>
        </w:rPr>
        <w:t>sources_2021_04</w:t>
      </w:r>
      <w:r w:rsidRPr="006862F1">
        <w:rPr>
          <w:iCs/>
          <w:color w:val="C00000"/>
        </w:rPr>
        <w:t>.</w:t>
      </w:r>
      <w:r w:rsidRPr="00A34254">
        <w:rPr>
          <w:iCs/>
          <w:color w:val="C00000"/>
          <w:highlight w:val="yellow"/>
        </w:rPr>
        <w:t>bib (?)</w:t>
      </w:r>
    </w:p>
    <w:p w14:paraId="724279F5" w14:textId="11AC69F1" w:rsidR="00B33C39" w:rsidRDefault="00A34254" w:rsidP="00B33C39">
      <w:pPr>
        <w:pStyle w:val="ListParagraph"/>
        <w:numPr>
          <w:ilvl w:val="0"/>
          <w:numId w:val="4"/>
        </w:numPr>
      </w:pPr>
      <w:r>
        <w:t>one</w:t>
      </w:r>
      <w:r w:rsidRPr="00031CCC">
        <w:t xml:space="preserve"> </w:t>
      </w:r>
      <w:r w:rsidR="00B33C39" w:rsidRPr="004A34C8">
        <w:rPr>
          <w:b/>
          <w:bCs/>
        </w:rPr>
        <w:t>transcription sheet</w:t>
      </w:r>
      <w:r w:rsidR="00893CFE" w:rsidRPr="004A34C8">
        <w:t xml:space="preserve">, </w:t>
      </w:r>
      <w:r w:rsidR="00893CFE">
        <w:t>as formatted text (.pdf)</w:t>
      </w:r>
      <w:r w:rsidR="00FB0C5E">
        <w:t>:</w:t>
      </w:r>
      <w:r w:rsidR="00893CFE" w:rsidRPr="00031CCC">
        <w:t xml:space="preserve"> </w:t>
      </w:r>
      <w:r>
        <w:rPr>
          <w:iCs/>
          <w:color w:val="C00000"/>
        </w:rPr>
        <w:t>3</w:t>
      </w:r>
      <w:r w:rsidR="00893CFE" w:rsidRPr="006862F1">
        <w:rPr>
          <w:iCs/>
          <w:color w:val="C00000"/>
        </w:rPr>
        <w:t>_</w:t>
      </w:r>
      <w:r w:rsidR="00893CFE">
        <w:rPr>
          <w:iCs/>
          <w:color w:val="C00000"/>
        </w:rPr>
        <w:t>transcrRules_2021_0</w:t>
      </w:r>
      <w:r w:rsidR="00723179">
        <w:rPr>
          <w:iCs/>
          <w:color w:val="C00000"/>
        </w:rPr>
        <w:t>3</w:t>
      </w:r>
      <w:r w:rsidR="00893CFE" w:rsidRPr="006862F1">
        <w:rPr>
          <w:iCs/>
          <w:color w:val="C00000"/>
        </w:rPr>
        <w:t>.pdf</w:t>
      </w:r>
    </w:p>
    <w:p w14:paraId="4407C41B" w14:textId="5B374538" w:rsidR="00A34254" w:rsidRDefault="00B160E0" w:rsidP="00801185">
      <w:r>
        <w:t>The d</w:t>
      </w:r>
      <w:r w:rsidR="00B02F70" w:rsidRPr="00031CCC">
        <w:t xml:space="preserve">ata </w:t>
      </w:r>
      <w:r w:rsidR="00031CCC">
        <w:t xml:space="preserve">file </w:t>
      </w:r>
      <w:r w:rsidR="00070C93" w:rsidRPr="00031CCC">
        <w:t>contain</w:t>
      </w:r>
      <w:r w:rsidR="008905C2">
        <w:t>s</w:t>
      </w:r>
      <w:r w:rsidR="00070C93" w:rsidRPr="00031CCC">
        <w:t xml:space="preserve"> the </w:t>
      </w:r>
      <w:r w:rsidR="00070C93">
        <w:t xml:space="preserve">data </w:t>
      </w:r>
      <w:r w:rsidR="008905C2">
        <w:t xml:space="preserve">on power numerals that </w:t>
      </w:r>
      <w:r w:rsidR="004A34C8">
        <w:t>are</w:t>
      </w:r>
      <w:r w:rsidR="008905C2">
        <w:t xml:space="preserve"> </w:t>
      </w:r>
      <w:r w:rsidR="00FB0C5E">
        <w:t>discussed</w:t>
      </w:r>
      <w:r w:rsidR="008905C2">
        <w:t xml:space="preserve"> in </w:t>
      </w:r>
      <w:r w:rsidR="00070C93" w:rsidRPr="00031CCC">
        <w:t xml:space="preserve">the manuscript entitled </w:t>
      </w:r>
      <w:r w:rsidR="00070C93" w:rsidRPr="006862F1">
        <w:rPr>
          <w:color w:val="2F5496" w:themeColor="accent1" w:themeShade="BF"/>
        </w:rPr>
        <w:t>“</w:t>
      </w:r>
      <w:r w:rsidR="008905C2">
        <w:rPr>
          <w:color w:val="2F5496" w:themeColor="accent1" w:themeShade="BF"/>
        </w:rPr>
        <w:t xml:space="preserve">Ways of counting </w:t>
      </w:r>
      <w:r w:rsidR="00070C93" w:rsidRPr="006862F1">
        <w:rPr>
          <w:color w:val="2F5496" w:themeColor="accent1" w:themeShade="BF"/>
        </w:rPr>
        <w:t>in Micronesia</w:t>
      </w:r>
      <w:r w:rsidR="00C2365E" w:rsidRPr="00C2365E">
        <w:rPr>
          <w:color w:val="2F5496" w:themeColor="accent1" w:themeShade="BF"/>
        </w:rPr>
        <w:t>”</w:t>
      </w:r>
      <w:r w:rsidR="00070C93" w:rsidRPr="00031CCC">
        <w:t xml:space="preserve">, authored by </w:t>
      </w:r>
      <w:r w:rsidR="00070C93" w:rsidRPr="006862F1">
        <w:rPr>
          <w:color w:val="2F5496" w:themeColor="accent1" w:themeShade="BF"/>
        </w:rPr>
        <w:t xml:space="preserve">Andrea Bender &amp; Sieghard Beller </w:t>
      </w:r>
      <w:r w:rsidR="00070C93" w:rsidRPr="00031CCC">
        <w:t xml:space="preserve">and </w:t>
      </w:r>
      <w:r w:rsidR="00A34254">
        <w:t xml:space="preserve">to be published </w:t>
      </w:r>
      <w:r w:rsidR="00070C93" w:rsidRPr="00031CCC">
        <w:t>in</w:t>
      </w:r>
      <w:r w:rsidR="00070C93">
        <w:t xml:space="preserve"> </w:t>
      </w:r>
      <w:r w:rsidR="008905C2">
        <w:rPr>
          <w:i/>
          <w:color w:val="2F5496" w:themeColor="accent1" w:themeShade="BF"/>
        </w:rPr>
        <w:t>Historia Mathematica</w:t>
      </w:r>
      <w:r w:rsidR="00070C93">
        <w:rPr>
          <w:i/>
        </w:rPr>
        <w:t>.</w:t>
      </w:r>
      <w:r w:rsidR="003C2DC1">
        <w:rPr>
          <w:i/>
        </w:rPr>
        <w:t xml:space="preserve"> </w:t>
      </w:r>
      <w:r w:rsidR="00A34254">
        <w:t xml:space="preserve">The source file contains bibliographic information on the sources used to generate the data file. And the </w:t>
      </w:r>
      <w:r w:rsidR="00A34254" w:rsidRPr="00130F23">
        <w:t>transcription sheet</w:t>
      </w:r>
      <w:r w:rsidR="00A34254">
        <w:t xml:space="preserve"> details how specific signs were transcribed. </w:t>
      </w:r>
    </w:p>
    <w:p w14:paraId="715524F8" w14:textId="34347B5F" w:rsidR="00B02F70" w:rsidRDefault="00A34254" w:rsidP="00801185">
      <w:r>
        <w:t>D</w:t>
      </w:r>
      <w:r w:rsidR="00070C93" w:rsidRPr="00031CCC">
        <w:t xml:space="preserve">ata </w:t>
      </w:r>
      <w:r w:rsidR="00070C93">
        <w:t>file</w:t>
      </w:r>
      <w:r>
        <w:t>, source file,</w:t>
      </w:r>
      <w:r w:rsidR="00130F23">
        <w:t xml:space="preserve"> and </w:t>
      </w:r>
      <w:r w:rsidR="00130F23" w:rsidRPr="00130F23">
        <w:t>transcription sheet</w:t>
      </w:r>
      <w:r w:rsidR="00A96674" w:rsidRPr="00130F23">
        <w:t xml:space="preserve"> </w:t>
      </w:r>
      <w:r w:rsidR="00130F23">
        <w:t>are</w:t>
      </w:r>
      <w:r w:rsidR="00B02F70" w:rsidRPr="00031CCC">
        <w:t xml:space="preserve"> described in the following</w:t>
      </w:r>
      <w:r w:rsidR="00A96674">
        <w:t xml:space="preserve">. </w:t>
      </w:r>
    </w:p>
    <w:p w14:paraId="6A78317B" w14:textId="77777777" w:rsidR="00B02F70" w:rsidRPr="00801185" w:rsidRDefault="00B02F70" w:rsidP="00360CCB">
      <w:pPr>
        <w:pStyle w:val="Heading2"/>
      </w:pPr>
      <w:r w:rsidRPr="00801185">
        <w:t xml:space="preserve">(1) </w:t>
      </w:r>
      <w:r w:rsidR="002D76A1" w:rsidRPr="00801185">
        <w:t xml:space="preserve">Data file </w:t>
      </w:r>
    </w:p>
    <w:p w14:paraId="200F3166" w14:textId="77777777" w:rsidR="002D76A1" w:rsidRPr="00031CCC" w:rsidRDefault="00B02F70" w:rsidP="00031CCC">
      <w:pPr>
        <w:pStyle w:val="Heading3"/>
      </w:pPr>
      <w:r w:rsidRPr="00031CCC">
        <w:t xml:space="preserve">Data file </w:t>
      </w:r>
      <w:r w:rsidR="002D76A1" w:rsidRPr="00031CCC">
        <w:t>description</w:t>
      </w:r>
    </w:p>
    <w:p w14:paraId="64CF4434" w14:textId="3A578902" w:rsidR="00070C93" w:rsidRDefault="002D76A1" w:rsidP="00070C93">
      <w:r w:rsidRPr="00031CCC">
        <w:t>Th</w:t>
      </w:r>
      <w:r w:rsidR="00801185">
        <w:t>e</w:t>
      </w:r>
      <w:r w:rsidRPr="00031CCC">
        <w:t xml:space="preserve"> </w:t>
      </w:r>
      <w:r w:rsidRPr="00C70D32">
        <w:t>data file</w:t>
      </w:r>
      <w:r w:rsidR="00070C93">
        <w:t xml:space="preserve"> </w:t>
      </w:r>
      <w:r w:rsidRPr="00031CCC">
        <w:t xml:space="preserve">contains </w:t>
      </w:r>
      <w:r w:rsidR="00066828" w:rsidRPr="00031CCC">
        <w:t xml:space="preserve">information on </w:t>
      </w:r>
      <w:r w:rsidR="008905C2">
        <w:t xml:space="preserve">the power numerals in the </w:t>
      </w:r>
      <w:r w:rsidR="00066828">
        <w:t xml:space="preserve">languages spoken in </w:t>
      </w:r>
      <w:r w:rsidR="00066828" w:rsidRPr="00031CCC">
        <w:t>Micronesia</w:t>
      </w:r>
      <w:r w:rsidR="005713FB">
        <w:t xml:space="preserve">, as collected from </w:t>
      </w:r>
      <w:r w:rsidR="00C70D32">
        <w:t>grammars and vocabularies of those languages, linguistic analyses, and ethnographic descriptions</w:t>
      </w:r>
      <w:r w:rsidR="00066828">
        <w:t>.</w:t>
      </w:r>
      <w:r w:rsidR="00070C93" w:rsidRPr="00031CCC">
        <w:t xml:space="preserve"> </w:t>
      </w:r>
    </w:p>
    <w:p w14:paraId="0FDC406A" w14:textId="77777777" w:rsidR="002D76A1" w:rsidRPr="00031CCC" w:rsidRDefault="002D76A1" w:rsidP="00031CCC">
      <w:pPr>
        <w:pStyle w:val="Heading3"/>
      </w:pPr>
      <w:r w:rsidRPr="00031CCC">
        <w:lastRenderedPageBreak/>
        <w:t>Data file structure</w:t>
      </w:r>
    </w:p>
    <w:p w14:paraId="356497C1" w14:textId="0C7ED63A" w:rsidR="00C3184F" w:rsidRPr="00031CCC" w:rsidRDefault="00031CCC" w:rsidP="00031CCC">
      <w:r>
        <w:t>D</w:t>
      </w:r>
      <w:r w:rsidR="002D76A1" w:rsidRPr="00031CCC">
        <w:t xml:space="preserve">ata </w:t>
      </w:r>
      <w:r w:rsidR="00FC25BA" w:rsidRPr="00031CCC">
        <w:t>are</w:t>
      </w:r>
      <w:r w:rsidR="002D76A1" w:rsidRPr="00031CCC">
        <w:t xml:space="preserve"> </w:t>
      </w:r>
      <w:r>
        <w:t>entered</w:t>
      </w:r>
      <w:r w:rsidR="002D76A1" w:rsidRPr="00031CCC">
        <w:t xml:space="preserve"> </w:t>
      </w:r>
      <w:r w:rsidR="00066828">
        <w:t xml:space="preserve">in </w:t>
      </w:r>
      <w:r w:rsidR="002D76A1" w:rsidRPr="00031CCC">
        <w:t>a single data sheet</w:t>
      </w:r>
      <w:r w:rsidR="00336EE1">
        <w:t xml:space="preserve"> consisting of</w:t>
      </w:r>
      <w:r w:rsidR="00066828">
        <w:t xml:space="preserve"> </w:t>
      </w:r>
      <w:r w:rsidR="00130F23" w:rsidRPr="00130F23">
        <w:t>18</w:t>
      </w:r>
      <w:r w:rsidR="00066828" w:rsidRPr="00130F23">
        <w:t xml:space="preserve"> </w:t>
      </w:r>
      <w:r w:rsidR="00066828">
        <w:t xml:space="preserve">columns. </w:t>
      </w:r>
      <w:r w:rsidR="00801185">
        <w:t>T</w:t>
      </w:r>
      <w:r w:rsidRPr="00031CCC">
        <w:t xml:space="preserve">he </w:t>
      </w:r>
      <w:r w:rsidR="007E176E">
        <w:t xml:space="preserve">first </w:t>
      </w:r>
      <w:r w:rsidR="00462B5A">
        <w:t>four</w:t>
      </w:r>
      <w:r w:rsidR="007E176E">
        <w:t xml:space="preserve"> </w:t>
      </w:r>
      <w:r w:rsidR="00066828">
        <w:t xml:space="preserve">of these </w:t>
      </w:r>
      <w:r w:rsidR="00336EE1">
        <w:t xml:space="preserve">columns </w:t>
      </w:r>
      <w:r w:rsidRPr="00031CCC">
        <w:t xml:space="preserve">contain </w:t>
      </w:r>
      <w:r w:rsidR="00F77EC2">
        <w:t xml:space="preserve">information for identifying </w:t>
      </w:r>
      <w:r w:rsidR="007E176E">
        <w:t>and classifying the languages</w:t>
      </w:r>
      <w:r w:rsidR="00130F23">
        <w:t xml:space="preserve"> or language variants</w:t>
      </w:r>
      <w:r w:rsidR="007E176E">
        <w:t>:</w:t>
      </w:r>
    </w:p>
    <w:p w14:paraId="07813008" w14:textId="00DE7D61" w:rsidR="007E176E" w:rsidRDefault="007E176E" w:rsidP="007E176E">
      <w:pPr>
        <w:pStyle w:val="ListParagraph"/>
        <w:numPr>
          <w:ilvl w:val="0"/>
          <w:numId w:val="1"/>
        </w:numPr>
      </w:pPr>
      <w:r>
        <w:t xml:space="preserve">The columns </w:t>
      </w:r>
      <w:r w:rsidRPr="00A96674">
        <w:rPr>
          <w:color w:val="806000" w:themeColor="accent4" w:themeShade="80"/>
        </w:rPr>
        <w:t>“</w:t>
      </w:r>
      <w:r w:rsidRPr="00B33C39">
        <w:rPr>
          <w:b/>
          <w:bCs/>
          <w:color w:val="806000" w:themeColor="accent4" w:themeShade="80"/>
        </w:rPr>
        <w:t>l</w:t>
      </w:r>
      <w:r w:rsidR="00221096" w:rsidRPr="00B33C39">
        <w:rPr>
          <w:b/>
          <w:bCs/>
          <w:color w:val="806000" w:themeColor="accent4" w:themeShade="80"/>
        </w:rPr>
        <w:t>a</w:t>
      </w:r>
      <w:r w:rsidRPr="00B33C39">
        <w:rPr>
          <w:b/>
          <w:bCs/>
          <w:color w:val="806000" w:themeColor="accent4" w:themeShade="80"/>
        </w:rPr>
        <w:t>ng_ID</w:t>
      </w:r>
      <w:r w:rsidRPr="00A96674">
        <w:rPr>
          <w:color w:val="806000" w:themeColor="accent4" w:themeShade="80"/>
        </w:rPr>
        <w:t>”</w:t>
      </w:r>
      <w:r w:rsidRPr="00031CCC">
        <w:t xml:space="preserve"> </w:t>
      </w:r>
      <w:r w:rsidR="008905C2">
        <w:t xml:space="preserve">and </w:t>
      </w:r>
      <w:r w:rsidR="008905C2" w:rsidRPr="00A96674">
        <w:rPr>
          <w:color w:val="806000" w:themeColor="accent4" w:themeShade="80"/>
        </w:rPr>
        <w:t>“</w:t>
      </w:r>
      <w:r w:rsidR="008905C2" w:rsidRPr="00B33C39">
        <w:rPr>
          <w:b/>
          <w:bCs/>
          <w:color w:val="806000" w:themeColor="accent4" w:themeShade="80"/>
        </w:rPr>
        <w:t>l</w:t>
      </w:r>
      <w:r w:rsidR="00221096" w:rsidRPr="00B33C39">
        <w:rPr>
          <w:b/>
          <w:bCs/>
          <w:color w:val="806000" w:themeColor="accent4" w:themeShade="80"/>
        </w:rPr>
        <w:t>a</w:t>
      </w:r>
      <w:r w:rsidR="008905C2" w:rsidRPr="00B33C39">
        <w:rPr>
          <w:b/>
          <w:bCs/>
          <w:color w:val="806000" w:themeColor="accent4" w:themeShade="80"/>
        </w:rPr>
        <w:t>ng_Nam</w:t>
      </w:r>
      <w:r w:rsidR="00221096" w:rsidRPr="00B33C39">
        <w:rPr>
          <w:b/>
          <w:bCs/>
          <w:color w:val="806000" w:themeColor="accent4" w:themeShade="80"/>
        </w:rPr>
        <w:t>e</w:t>
      </w:r>
      <w:r w:rsidR="008905C2" w:rsidRPr="00A96674">
        <w:rPr>
          <w:color w:val="806000" w:themeColor="accent4" w:themeShade="80"/>
        </w:rPr>
        <w:t>”</w:t>
      </w:r>
      <w:r w:rsidR="008905C2" w:rsidRPr="007E176E">
        <w:rPr>
          <w:color w:val="70AD47" w:themeColor="accent6"/>
        </w:rPr>
        <w:t xml:space="preserve"> </w:t>
      </w:r>
      <w:r>
        <w:t xml:space="preserve">contain the </w:t>
      </w:r>
      <w:r w:rsidRPr="00130F23">
        <w:t>Glottocodes</w:t>
      </w:r>
      <w:r w:rsidR="008905C2" w:rsidRPr="00130F23">
        <w:t xml:space="preserve"> and the names</w:t>
      </w:r>
      <w:r w:rsidR="00A96674">
        <w:t>, respectively,</w:t>
      </w:r>
      <w:r>
        <w:t xml:space="preserve"> for each of the analysed language</w:t>
      </w:r>
      <w:r w:rsidR="00A96674">
        <w:t xml:space="preserve">s, following the </w:t>
      </w:r>
      <w:r w:rsidR="00A96674" w:rsidRPr="00A96674">
        <w:rPr>
          <w:i/>
          <w:iCs/>
        </w:rPr>
        <w:t>Glottolog</w:t>
      </w:r>
      <w:r w:rsidR="00A96674">
        <w:t xml:space="preserve"> convention</w:t>
      </w:r>
      <w:r w:rsidR="00D73E7D">
        <w:t>s</w:t>
      </w:r>
      <w:r w:rsidR="00A96674">
        <w:t xml:space="preserve">; </w:t>
      </w:r>
      <w:r w:rsidR="00D73E7D">
        <w:br/>
      </w:r>
      <w:r w:rsidR="00A96674">
        <w:t xml:space="preserve">see </w:t>
      </w:r>
      <w:hyperlink r:id="rId8" w:history="1">
        <w:r w:rsidRPr="005B5985">
          <w:rPr>
            <w:rStyle w:val="Hyperlink"/>
          </w:rPr>
          <w:t>https://glottolog.org/</w:t>
        </w:r>
      </w:hyperlink>
      <w:r>
        <w:t xml:space="preserve"> </w:t>
      </w:r>
      <w:r w:rsidR="00A96674">
        <w:t>(</w:t>
      </w:r>
      <w:r>
        <w:t>last accessed on 202</w:t>
      </w:r>
      <w:r w:rsidR="00130F23">
        <w:t>1</w:t>
      </w:r>
      <w:r>
        <w:t>-0</w:t>
      </w:r>
      <w:r w:rsidR="00130F23">
        <w:t>3</w:t>
      </w:r>
      <w:r>
        <w:t>-</w:t>
      </w:r>
      <w:r w:rsidR="00C2758E">
        <w:t>2</w:t>
      </w:r>
      <w:r w:rsidR="00130F23">
        <w:t>7</w:t>
      </w:r>
      <w:r>
        <w:t>)</w:t>
      </w:r>
      <w:r w:rsidR="00336EE1">
        <w:t>.</w:t>
      </w:r>
    </w:p>
    <w:p w14:paraId="3B5DE078" w14:textId="62CE083C" w:rsidR="00462B5A" w:rsidRPr="00031CCC" w:rsidRDefault="00462B5A" w:rsidP="007E176E">
      <w:pPr>
        <w:pStyle w:val="ListParagraph"/>
        <w:numPr>
          <w:ilvl w:val="0"/>
          <w:numId w:val="1"/>
        </w:numPr>
      </w:pPr>
      <w:r>
        <w:t xml:space="preserve">The column </w:t>
      </w:r>
      <w:r w:rsidRPr="00A96674">
        <w:rPr>
          <w:color w:val="806000" w:themeColor="accent4" w:themeShade="80"/>
        </w:rPr>
        <w:t>“</w:t>
      </w:r>
      <w:r w:rsidRPr="00B33C39">
        <w:rPr>
          <w:b/>
          <w:bCs/>
          <w:color w:val="806000" w:themeColor="accent4" w:themeShade="80"/>
        </w:rPr>
        <w:t>l</w:t>
      </w:r>
      <w:r w:rsidR="00221096" w:rsidRPr="00B33C39">
        <w:rPr>
          <w:b/>
          <w:bCs/>
          <w:color w:val="806000" w:themeColor="accent4" w:themeShade="80"/>
        </w:rPr>
        <w:t>a</w:t>
      </w:r>
      <w:r w:rsidRPr="00B33C39">
        <w:rPr>
          <w:b/>
          <w:bCs/>
          <w:color w:val="806000" w:themeColor="accent4" w:themeShade="80"/>
        </w:rPr>
        <w:t>ng_Var</w:t>
      </w:r>
      <w:r w:rsidRPr="00A96674">
        <w:rPr>
          <w:color w:val="806000" w:themeColor="accent4" w:themeShade="80"/>
        </w:rPr>
        <w:t>”</w:t>
      </w:r>
      <w:r w:rsidRPr="00031CCC">
        <w:t xml:space="preserve"> </w:t>
      </w:r>
      <w:r>
        <w:t xml:space="preserve">specifies the language variant for those instances, for which separate descriptions for distinct islands are available (i.e., </w:t>
      </w:r>
      <w:r w:rsidRPr="00462B5A">
        <w:t>Puluwatese, Woleaian, Ulithian, and Sonsor</w:t>
      </w:r>
      <w:r w:rsidR="00130F23">
        <w:t>o</w:t>
      </w:r>
      <w:r w:rsidRPr="00462B5A">
        <w:t>l</w:t>
      </w:r>
      <w:r>
        <w:t xml:space="preserve">), with either </w:t>
      </w:r>
      <w:r w:rsidR="00130F23">
        <w:t xml:space="preserve">the </w:t>
      </w:r>
      <w:r w:rsidRPr="00130F23">
        <w:t>name</w:t>
      </w:r>
      <w:r>
        <w:t xml:space="preserve"> of the respective island</w:t>
      </w:r>
      <w:r w:rsidR="00130F23">
        <w:t xml:space="preserve"> or</w:t>
      </w:r>
      <w:r>
        <w:t xml:space="preserve"> “</w:t>
      </w:r>
      <w:r w:rsidRPr="00130F23">
        <w:t>main</w:t>
      </w:r>
      <w:r>
        <w:t xml:space="preserve">” in all </w:t>
      </w:r>
      <w:r w:rsidR="00130F23">
        <w:t xml:space="preserve">those </w:t>
      </w:r>
      <w:r>
        <w:t>cases for which only one variant is reported.</w:t>
      </w:r>
    </w:p>
    <w:p w14:paraId="14A6BD5A" w14:textId="69DEA9EC" w:rsidR="00D73E7D" w:rsidRDefault="007E176E" w:rsidP="00336EE1">
      <w:pPr>
        <w:pStyle w:val="ListParagraph"/>
        <w:numPr>
          <w:ilvl w:val="0"/>
          <w:numId w:val="1"/>
        </w:numPr>
      </w:pPr>
      <w:r>
        <w:t xml:space="preserve">The column </w:t>
      </w:r>
      <w:r w:rsidR="00F77EC2" w:rsidRPr="008B11A0">
        <w:rPr>
          <w:color w:val="806000" w:themeColor="accent4" w:themeShade="80"/>
        </w:rPr>
        <w:t>“</w:t>
      </w:r>
      <w:r w:rsidR="009B4219" w:rsidRPr="00C70D32">
        <w:rPr>
          <w:b/>
          <w:bCs/>
          <w:color w:val="806000" w:themeColor="accent4" w:themeShade="80"/>
        </w:rPr>
        <w:t>l</w:t>
      </w:r>
      <w:r w:rsidR="00221096" w:rsidRPr="00C70D32">
        <w:rPr>
          <w:b/>
          <w:bCs/>
          <w:color w:val="806000" w:themeColor="accent4" w:themeShade="80"/>
        </w:rPr>
        <w:t>a</w:t>
      </w:r>
      <w:r w:rsidR="009B4219" w:rsidRPr="00C70D32">
        <w:rPr>
          <w:b/>
          <w:bCs/>
          <w:color w:val="806000" w:themeColor="accent4" w:themeShade="80"/>
        </w:rPr>
        <w:t>ng</w:t>
      </w:r>
      <w:r w:rsidR="009B4219" w:rsidRPr="00B33C39">
        <w:rPr>
          <w:b/>
          <w:bCs/>
          <w:color w:val="806000" w:themeColor="accent4" w:themeShade="80"/>
        </w:rPr>
        <w:t>_</w:t>
      </w:r>
      <w:r w:rsidR="00221096" w:rsidRPr="00B33C39">
        <w:rPr>
          <w:b/>
          <w:bCs/>
          <w:color w:val="806000" w:themeColor="accent4" w:themeShade="80"/>
        </w:rPr>
        <w:t>Br</w:t>
      </w:r>
      <w:r w:rsidR="00F77EC2" w:rsidRPr="008B11A0">
        <w:rPr>
          <w:color w:val="806000" w:themeColor="accent4" w:themeShade="80"/>
        </w:rPr>
        <w:t>”</w:t>
      </w:r>
      <w:r>
        <w:t xml:space="preserve"> contains values for </w:t>
      </w:r>
      <w:r w:rsidR="00801185">
        <w:t xml:space="preserve">whether or not </w:t>
      </w:r>
      <w:r>
        <w:t>the language belongs</w:t>
      </w:r>
      <w:r w:rsidR="00801185">
        <w:t xml:space="preserve"> to the Micronesian </w:t>
      </w:r>
      <w:r w:rsidR="00A96674">
        <w:t>sub-branch</w:t>
      </w:r>
      <w:r w:rsidR="00336EE1">
        <w:t>, with</w:t>
      </w:r>
      <w:r>
        <w:t xml:space="preserve"> </w:t>
      </w:r>
      <w:r w:rsidR="009B4219" w:rsidRPr="00031CCC">
        <w:t>“</w:t>
      </w:r>
      <w:r w:rsidR="009B4219" w:rsidRPr="00FB0C5E">
        <w:t xml:space="preserve">1” = Micronesian </w:t>
      </w:r>
      <w:r w:rsidR="00C2758E" w:rsidRPr="00FB0C5E">
        <w:t>and</w:t>
      </w:r>
      <w:r w:rsidR="009B4219" w:rsidRPr="00FB0C5E">
        <w:t xml:space="preserve"> “2” = non</w:t>
      </w:r>
      <w:r w:rsidR="009B4219" w:rsidRPr="00031CCC">
        <w:t>-Micronesian</w:t>
      </w:r>
      <w:r w:rsidR="00D73E7D">
        <w:t xml:space="preserve"> (</w:t>
      </w:r>
      <w:r w:rsidR="00A96674">
        <w:t xml:space="preserve">again according to </w:t>
      </w:r>
      <w:r w:rsidR="00A96674" w:rsidRPr="00D73E7D">
        <w:rPr>
          <w:i/>
          <w:iCs/>
        </w:rPr>
        <w:t>Glottolog</w:t>
      </w:r>
      <w:r w:rsidR="00D73E7D">
        <w:t>).</w:t>
      </w:r>
      <w:r w:rsidR="009B4219" w:rsidRPr="00031CCC">
        <w:t xml:space="preserve"> </w:t>
      </w:r>
    </w:p>
    <w:p w14:paraId="7E562BCC" w14:textId="43E368AE" w:rsidR="00F77EC2" w:rsidRPr="00031CCC" w:rsidRDefault="007E176E" w:rsidP="00336EE1">
      <w:r>
        <w:t xml:space="preserve">The subsequent </w:t>
      </w:r>
      <w:r w:rsidR="00D26ED2">
        <w:t xml:space="preserve">ten </w:t>
      </w:r>
      <w:r w:rsidRPr="00031CCC">
        <w:t xml:space="preserve">columns </w:t>
      </w:r>
      <w:r w:rsidR="00B33C39" w:rsidRPr="008B11A0">
        <w:rPr>
          <w:color w:val="806000" w:themeColor="accent4" w:themeShade="80"/>
        </w:rPr>
        <w:t>“</w:t>
      </w:r>
      <w:r w:rsidR="00B33C39" w:rsidRPr="00B33C39">
        <w:rPr>
          <w:b/>
          <w:bCs/>
          <w:color w:val="806000" w:themeColor="accent4" w:themeShade="80"/>
        </w:rPr>
        <w:t>10^1</w:t>
      </w:r>
      <w:r w:rsidR="00B33C39" w:rsidRPr="008B11A0">
        <w:rPr>
          <w:color w:val="806000" w:themeColor="accent4" w:themeShade="80"/>
        </w:rPr>
        <w:t>”</w:t>
      </w:r>
      <w:r w:rsidR="00B33C39">
        <w:t xml:space="preserve"> to </w:t>
      </w:r>
      <w:r w:rsidR="00B33C39" w:rsidRPr="008B11A0">
        <w:rPr>
          <w:color w:val="806000" w:themeColor="accent4" w:themeShade="80"/>
        </w:rPr>
        <w:t>“</w:t>
      </w:r>
      <w:r w:rsidR="00B33C39" w:rsidRPr="00B33C39">
        <w:rPr>
          <w:b/>
          <w:bCs/>
          <w:color w:val="806000" w:themeColor="accent4" w:themeShade="80"/>
        </w:rPr>
        <w:t>10^1</w:t>
      </w:r>
      <w:r w:rsidR="00B33C39">
        <w:rPr>
          <w:b/>
          <w:bCs/>
          <w:color w:val="806000" w:themeColor="accent4" w:themeShade="80"/>
        </w:rPr>
        <w:t>0</w:t>
      </w:r>
      <w:r w:rsidR="00B33C39" w:rsidRPr="008B11A0">
        <w:rPr>
          <w:color w:val="806000" w:themeColor="accent4" w:themeShade="80"/>
        </w:rPr>
        <w:t>”</w:t>
      </w:r>
      <w:r w:rsidR="00B33C39">
        <w:t xml:space="preserve"> </w:t>
      </w:r>
      <w:r w:rsidRPr="00031CCC">
        <w:t xml:space="preserve">contain </w:t>
      </w:r>
      <w:r w:rsidR="00F77EC2" w:rsidRPr="00031CCC">
        <w:t xml:space="preserve">information </w:t>
      </w:r>
      <w:r>
        <w:t xml:space="preserve">on </w:t>
      </w:r>
      <w:r w:rsidR="00D26ED2">
        <w:t>power numerals from 10</w:t>
      </w:r>
      <w:r w:rsidR="00D26ED2" w:rsidRPr="00D26ED2">
        <w:rPr>
          <w:vertAlign w:val="superscript"/>
        </w:rPr>
        <w:t>1</w:t>
      </w:r>
      <w:r w:rsidR="00D26ED2">
        <w:t xml:space="preserve"> to 10</w:t>
      </w:r>
      <w:r w:rsidR="00D26ED2" w:rsidRPr="00D26ED2">
        <w:rPr>
          <w:vertAlign w:val="superscript"/>
        </w:rPr>
        <w:t>10</w:t>
      </w:r>
      <w:r w:rsidR="00D26ED2">
        <w:t xml:space="preserve"> (which is the highest power </w:t>
      </w:r>
      <w:r w:rsidR="004A34C8">
        <w:t>denoted</w:t>
      </w:r>
      <w:r w:rsidR="00D26ED2">
        <w:t xml:space="preserve"> in any of the languages under scrutiny). </w:t>
      </w:r>
      <w:r w:rsidR="005713FB">
        <w:t xml:space="preserve">Data entered in these columns consist of the number word(s) reported in the </w:t>
      </w:r>
      <w:r w:rsidR="00B33C39">
        <w:t xml:space="preserve">main </w:t>
      </w:r>
      <w:r w:rsidR="005713FB">
        <w:t>source (see</w:t>
      </w:r>
      <w:r w:rsidR="00B33C39">
        <w:t xml:space="preserve"> </w:t>
      </w:r>
      <w:r w:rsidR="00B33C39" w:rsidRPr="00A96674">
        <w:rPr>
          <w:color w:val="806000" w:themeColor="accent4" w:themeShade="80"/>
        </w:rPr>
        <w:t>“</w:t>
      </w:r>
      <w:r w:rsidR="00B33C39" w:rsidRPr="00B33C39">
        <w:rPr>
          <w:b/>
          <w:bCs/>
          <w:color w:val="806000" w:themeColor="accent4" w:themeShade="80"/>
        </w:rPr>
        <w:t>Source</w:t>
      </w:r>
      <w:r w:rsidR="00B33C39" w:rsidRPr="00A96674">
        <w:rPr>
          <w:color w:val="806000" w:themeColor="accent4" w:themeShade="80"/>
        </w:rPr>
        <w:t>”</w:t>
      </w:r>
      <w:r w:rsidR="004A34C8" w:rsidRPr="004A34C8">
        <w:t xml:space="preserve"> </w:t>
      </w:r>
      <w:r w:rsidR="004A34C8">
        <w:t>column below</w:t>
      </w:r>
      <w:r w:rsidR="005713FB">
        <w:t xml:space="preserve">), </w:t>
      </w:r>
      <w:r w:rsidR="004A34C8">
        <w:t>in line with</w:t>
      </w:r>
      <w:r w:rsidR="005713FB">
        <w:t xml:space="preserve"> the following conventions:</w:t>
      </w:r>
    </w:p>
    <w:p w14:paraId="2053FCE6" w14:textId="5F711D02" w:rsidR="00C3184F" w:rsidRPr="00360CCB" w:rsidRDefault="005713FB" w:rsidP="00336EE1">
      <w:pPr>
        <w:pStyle w:val="ListParagraph"/>
        <w:numPr>
          <w:ilvl w:val="0"/>
          <w:numId w:val="1"/>
        </w:numPr>
        <w:ind w:left="714" w:hanging="357"/>
      </w:pPr>
      <w:r>
        <w:t xml:space="preserve">The original </w:t>
      </w:r>
      <w:r w:rsidRPr="00FB0C5E">
        <w:t>orthography</w:t>
      </w:r>
      <w:r>
        <w:t xml:space="preserve"> of the source is adopted as </w:t>
      </w:r>
      <w:r w:rsidR="00FB0C5E">
        <w:t>accurately</w:t>
      </w:r>
      <w:r>
        <w:t xml:space="preserve"> as possible. Where it was not possible to find a single sign to represent </w:t>
      </w:r>
      <w:r w:rsidR="00B33C39">
        <w:t xml:space="preserve">the exact </w:t>
      </w:r>
      <w:r>
        <w:t xml:space="preserve">combination of letter and diacritics used in the source, a </w:t>
      </w:r>
      <w:r w:rsidR="00B33C39">
        <w:t>different</w:t>
      </w:r>
      <w:r>
        <w:t xml:space="preserve"> sign was chosen (</w:t>
      </w:r>
      <w:r w:rsidR="00B33C39">
        <w:t xml:space="preserve">as </w:t>
      </w:r>
      <w:r>
        <w:t xml:space="preserve">documented in </w:t>
      </w:r>
      <w:r w:rsidR="00B33C39">
        <w:t>the</w:t>
      </w:r>
      <w:r>
        <w:t xml:space="preserve"> </w:t>
      </w:r>
      <w:r w:rsidRPr="00360CCB">
        <w:rPr>
          <w:i/>
          <w:iCs/>
          <w:color w:val="C00000"/>
        </w:rPr>
        <w:t>transcription sheet</w:t>
      </w:r>
      <w:r>
        <w:t xml:space="preserve">, see below) so that the same new sign was used consistently for all words using the same combination of letter and diacritics. </w:t>
      </w:r>
      <w:r w:rsidRPr="00360CCB">
        <w:t xml:space="preserve">Such changes </w:t>
      </w:r>
      <w:r w:rsidR="001A0F26" w:rsidRPr="00360CCB">
        <w:t xml:space="preserve">are </w:t>
      </w:r>
      <w:r w:rsidR="00FB0C5E" w:rsidRPr="00360CCB">
        <w:t>flagged</w:t>
      </w:r>
      <w:r w:rsidRPr="00360CCB">
        <w:t xml:space="preserve"> in a separate column</w:t>
      </w:r>
      <w:r w:rsidR="004A34C8" w:rsidRPr="00360CCB">
        <w:t xml:space="preserve">, </w:t>
      </w:r>
      <w:r w:rsidR="004A34C8" w:rsidRPr="00C70D32">
        <w:rPr>
          <w:color w:val="806000" w:themeColor="accent4" w:themeShade="80"/>
        </w:rPr>
        <w:t>“</w:t>
      </w:r>
      <w:r w:rsidR="004A34C8" w:rsidRPr="00C70D32">
        <w:rPr>
          <w:b/>
          <w:bCs/>
          <w:color w:val="806000" w:themeColor="accent4" w:themeShade="80"/>
        </w:rPr>
        <w:t>Orth</w:t>
      </w:r>
      <w:r w:rsidR="004A34C8" w:rsidRPr="00C70D32">
        <w:rPr>
          <w:color w:val="806000" w:themeColor="accent4" w:themeShade="80"/>
        </w:rPr>
        <w:t>”</w:t>
      </w:r>
      <w:r w:rsidR="004A34C8" w:rsidRPr="00360CCB">
        <w:t xml:space="preserve"> (see below)</w:t>
      </w:r>
      <w:r w:rsidR="00797EE4" w:rsidRPr="00360CCB">
        <w:t xml:space="preserve">. </w:t>
      </w:r>
      <w:r w:rsidR="00C70D32">
        <w:t>Ligature markings were occasionally made in the original sources, but ignored for the transcription.</w:t>
      </w:r>
      <w:r w:rsidR="00797EE4" w:rsidRPr="00360CCB">
        <w:t xml:space="preserve"> </w:t>
      </w:r>
    </w:p>
    <w:p w14:paraId="3896BD28" w14:textId="5D738340" w:rsidR="00741CE2" w:rsidRPr="007A2072" w:rsidRDefault="007A2072" w:rsidP="00336EE1">
      <w:pPr>
        <w:pStyle w:val="ListParagraph"/>
        <w:numPr>
          <w:ilvl w:val="0"/>
          <w:numId w:val="1"/>
        </w:numPr>
        <w:ind w:left="714" w:hanging="357"/>
      </w:pPr>
      <w:r w:rsidRPr="007A2072">
        <w:t>S</w:t>
      </w:r>
      <w:r w:rsidR="00741CE2" w:rsidRPr="007A2072">
        <w:t>qu</w:t>
      </w:r>
      <w:r w:rsidRPr="007A2072">
        <w:t>a</w:t>
      </w:r>
      <w:r w:rsidR="00741CE2" w:rsidRPr="007A2072">
        <w:t>re br</w:t>
      </w:r>
      <w:r w:rsidRPr="007A2072">
        <w:t>a</w:t>
      </w:r>
      <w:r w:rsidR="00741CE2" w:rsidRPr="007A2072">
        <w:t xml:space="preserve">ckets indicate an optional part of the numeral </w:t>
      </w:r>
      <w:r w:rsidRPr="007A2072">
        <w:t>or a placeholder for a prefix</w:t>
      </w:r>
      <w:r w:rsidR="00360CCB">
        <w:t xml:space="preserve"> (only inserted when explicated in the source)</w:t>
      </w:r>
      <w:r w:rsidRPr="007A2072">
        <w:t>.</w:t>
      </w:r>
    </w:p>
    <w:p w14:paraId="2800F8C5" w14:textId="23E8862A" w:rsidR="005713FB" w:rsidRDefault="005713FB" w:rsidP="00031CCC">
      <w:pPr>
        <w:pStyle w:val="ListParagraph"/>
        <w:numPr>
          <w:ilvl w:val="0"/>
          <w:numId w:val="1"/>
        </w:numPr>
      </w:pPr>
      <w:r>
        <w:t xml:space="preserve">In cases, in which </w:t>
      </w:r>
      <w:r w:rsidRPr="004A34C8">
        <w:t xml:space="preserve">more than one </w:t>
      </w:r>
      <w:r w:rsidR="004A34C8">
        <w:t>numeral</w:t>
      </w:r>
      <w:r>
        <w:t xml:space="preserve"> for the same power is reported in the source, all </w:t>
      </w:r>
      <w:r w:rsidR="004A34C8">
        <w:t>numerals</w:t>
      </w:r>
      <w:r>
        <w:t xml:space="preserve"> are given in the order in which they are reported, separated by “/”.</w:t>
      </w:r>
    </w:p>
    <w:p w14:paraId="1C02C110" w14:textId="1172C4EC" w:rsidR="001A0F26" w:rsidRDefault="004A34C8" w:rsidP="001A0F26">
      <w:pPr>
        <w:pStyle w:val="ListParagraph"/>
        <w:numPr>
          <w:ilvl w:val="0"/>
          <w:numId w:val="1"/>
        </w:numPr>
      </w:pPr>
      <w:r>
        <w:t>L</w:t>
      </w:r>
      <w:r w:rsidR="001A0F26" w:rsidRPr="004A34C8">
        <w:t>oan words</w:t>
      </w:r>
      <w:r w:rsidR="001A0F26">
        <w:t xml:space="preserve"> </w:t>
      </w:r>
      <w:r>
        <w:t xml:space="preserve">for </w:t>
      </w:r>
      <w:r w:rsidR="001A0F26">
        <w:t xml:space="preserve">numerals are included if reported in the source, but set in round brackets </w:t>
      </w:r>
      <w:r w:rsidR="001A0F26" w:rsidRPr="00227038">
        <w:t xml:space="preserve">(e.g., “(tausin)” in kosr1238). The same convention is applied to power terms that are composed from several numerals according to a </w:t>
      </w:r>
      <w:r w:rsidRPr="00227038">
        <w:t>‘</w:t>
      </w:r>
      <w:r w:rsidR="001A0F26" w:rsidRPr="00227038">
        <w:t>loaned structure</w:t>
      </w:r>
      <w:r w:rsidR="00F31877" w:rsidRPr="00227038">
        <w:t>’</w:t>
      </w:r>
      <w:r w:rsidR="001A0F26" w:rsidRPr="00227038">
        <w:t xml:space="preserve">, typically from a European language (e.g., “(ata arańan)” in </w:t>
      </w:r>
      <w:r w:rsidR="001A0F26">
        <w:t>naur1243)</w:t>
      </w:r>
      <w:r w:rsidR="00360CCB">
        <w:t>. F</w:t>
      </w:r>
      <w:r w:rsidR="00FB0C5E">
        <w:t xml:space="preserve">or </w:t>
      </w:r>
      <w:r w:rsidR="00360CCB">
        <w:t xml:space="preserve">further </w:t>
      </w:r>
      <w:r w:rsidR="00FB0C5E">
        <w:t>discussion, see the manuscript</w:t>
      </w:r>
      <w:r w:rsidR="00C70D32">
        <w:t xml:space="preserve"> (</w:t>
      </w:r>
      <w:r w:rsidR="00C70D32" w:rsidRPr="00C70D32">
        <w:rPr>
          <w:color w:val="4472C4" w:themeColor="accent1"/>
        </w:rPr>
        <w:t>Bender &amp; Beller, subm.</w:t>
      </w:r>
      <w:r w:rsidR="00C70D32">
        <w:t>)</w:t>
      </w:r>
      <w:r w:rsidR="00360CCB">
        <w:t>.</w:t>
      </w:r>
    </w:p>
    <w:p w14:paraId="1DA4980D" w14:textId="4B73A4F3" w:rsidR="001A0F26" w:rsidRDefault="001A0F26" w:rsidP="001A0F26">
      <w:pPr>
        <w:pStyle w:val="ListParagraph"/>
        <w:numPr>
          <w:ilvl w:val="0"/>
          <w:numId w:val="1"/>
        </w:numPr>
      </w:pPr>
      <w:r>
        <w:t xml:space="preserve">Lexemes </w:t>
      </w:r>
      <w:r w:rsidR="00C70D32">
        <w:t>listed</w:t>
      </w:r>
      <w:r>
        <w:t xml:space="preserve"> as power numeral</w:t>
      </w:r>
      <w:r w:rsidR="00F31877">
        <w:t>s</w:t>
      </w:r>
      <w:r w:rsidR="00C70D32">
        <w:t xml:space="preserve"> in the source</w:t>
      </w:r>
      <w:r>
        <w:t>, but translated in a way</w:t>
      </w:r>
      <w:r w:rsidR="00FB0C5E">
        <w:t xml:space="preserve"> that</w:t>
      </w:r>
      <w:r>
        <w:t xml:space="preserve"> indicat</w:t>
      </w:r>
      <w:r w:rsidR="00FB0C5E">
        <w:t>es</w:t>
      </w:r>
      <w:r>
        <w:t xml:space="preserve"> </w:t>
      </w:r>
      <w:r w:rsidR="00FB0C5E">
        <w:t xml:space="preserve">the </w:t>
      </w:r>
      <w:r w:rsidRPr="00F31877">
        <w:t>end of counting</w:t>
      </w:r>
      <w:r>
        <w:t xml:space="preserve"> (</w:t>
      </w:r>
      <w:r w:rsidR="00F31877">
        <w:t xml:space="preserve">e.g., </w:t>
      </w:r>
      <w:r>
        <w:t>“</w:t>
      </w:r>
      <w:r w:rsidR="00F31877">
        <w:t>limit</w:t>
      </w:r>
      <w:r w:rsidR="00FB0C5E">
        <w:t xml:space="preserve"> of counting</w:t>
      </w:r>
      <w:r>
        <w:t xml:space="preserve">”, </w:t>
      </w:r>
      <w:r w:rsidR="00F31877">
        <w:t>“</w:t>
      </w:r>
      <w:r>
        <w:t xml:space="preserve">finished”, </w:t>
      </w:r>
      <w:r w:rsidR="00FB0C5E">
        <w:t>“outside”</w:t>
      </w:r>
      <w:r w:rsidR="00360CCB">
        <w:t>,</w:t>
      </w:r>
      <w:r w:rsidR="00FB0C5E">
        <w:t xml:space="preserve"> </w:t>
      </w:r>
      <w:r w:rsidR="00F31877">
        <w:t xml:space="preserve">or </w:t>
      </w:r>
      <w:r>
        <w:t>“</w:t>
      </w:r>
      <w:r w:rsidR="00F31877">
        <w:t>infinite</w:t>
      </w:r>
      <w:r>
        <w:t xml:space="preserve">”), are affixed with an asterisk </w:t>
      </w:r>
      <w:r w:rsidRPr="00F31877">
        <w:t>(e.g., “*manutu”</w:t>
      </w:r>
      <w:r>
        <w:t xml:space="preserve"> in cham1312). </w:t>
      </w:r>
    </w:p>
    <w:p w14:paraId="33667240" w14:textId="7AF95A7D" w:rsidR="003219D5" w:rsidRDefault="003219D5" w:rsidP="001A0F26">
      <w:pPr>
        <w:pStyle w:val="ListParagraph"/>
        <w:numPr>
          <w:ilvl w:val="0"/>
          <w:numId w:val="1"/>
        </w:numPr>
      </w:pPr>
      <w:r>
        <w:t xml:space="preserve">“?”indicates that it is unclear whether the numeral does not exist or just wasn’t collected (e.g., </w:t>
      </w:r>
      <w:r w:rsidRPr="003219D5">
        <w:rPr>
          <w:color w:val="4472C4" w:themeColor="accent1"/>
        </w:rPr>
        <w:t>Quackenbush</w:t>
      </w:r>
      <w:r>
        <w:rPr>
          <w:color w:val="4472C4" w:themeColor="accent1"/>
        </w:rPr>
        <w:t>, 1968,</w:t>
      </w:r>
      <w:r w:rsidRPr="003219D5">
        <w:rPr>
          <w:color w:val="4472C4" w:themeColor="accent1"/>
        </w:rPr>
        <w:t xml:space="preserve"> </w:t>
      </w:r>
      <w:r>
        <w:t>deliberately collected numerals only up to 1000).</w:t>
      </w:r>
    </w:p>
    <w:p w14:paraId="1DE0BD38" w14:textId="2D250DFA" w:rsidR="00D26ED2" w:rsidRPr="00031CCC" w:rsidRDefault="00D26ED2" w:rsidP="00D26ED2">
      <w:r>
        <w:t>The final</w:t>
      </w:r>
      <w:r w:rsidR="001A0F26">
        <w:t xml:space="preserve"> set of</w:t>
      </w:r>
      <w:r>
        <w:t xml:space="preserve"> </w:t>
      </w:r>
      <w:r w:rsidRPr="00031CCC">
        <w:t xml:space="preserve">columns contain </w:t>
      </w:r>
      <w:r w:rsidR="008428C7">
        <w:t xml:space="preserve">various types of </w:t>
      </w:r>
      <w:r>
        <w:t>comments on the data</w:t>
      </w:r>
      <w:r w:rsidR="008428C7">
        <w:t>:</w:t>
      </w:r>
    </w:p>
    <w:p w14:paraId="41BE1328" w14:textId="46B9D34B" w:rsidR="00221096" w:rsidRPr="00F31877" w:rsidRDefault="00221096" w:rsidP="008428C7">
      <w:pPr>
        <w:pStyle w:val="ListParagraph"/>
        <w:numPr>
          <w:ilvl w:val="0"/>
          <w:numId w:val="1"/>
        </w:numPr>
        <w:ind w:left="714" w:hanging="357"/>
      </w:pPr>
      <w:r>
        <w:t xml:space="preserve">The column </w:t>
      </w:r>
      <w:r w:rsidRPr="00221096">
        <w:rPr>
          <w:color w:val="806000" w:themeColor="accent4" w:themeShade="80"/>
        </w:rPr>
        <w:t>“</w:t>
      </w:r>
      <w:r w:rsidRPr="00893CFE">
        <w:rPr>
          <w:b/>
          <w:bCs/>
          <w:color w:val="806000" w:themeColor="accent4" w:themeShade="80"/>
        </w:rPr>
        <w:t>Orth</w:t>
      </w:r>
      <w:r w:rsidRPr="00221096">
        <w:rPr>
          <w:color w:val="806000" w:themeColor="accent4" w:themeShade="80"/>
        </w:rPr>
        <w:t>”</w:t>
      </w:r>
      <w:r>
        <w:t xml:space="preserve"> </w:t>
      </w:r>
      <w:r w:rsidR="00F31877">
        <w:t xml:space="preserve">indicates whether, for the numerals of that language (in </w:t>
      </w:r>
      <w:r>
        <w:t>columns from 10</w:t>
      </w:r>
      <w:r w:rsidRPr="00D26ED2">
        <w:rPr>
          <w:vertAlign w:val="superscript"/>
        </w:rPr>
        <w:t>1</w:t>
      </w:r>
      <w:r>
        <w:t xml:space="preserve"> to 10</w:t>
      </w:r>
      <w:r w:rsidRPr="00D26ED2">
        <w:rPr>
          <w:vertAlign w:val="superscript"/>
        </w:rPr>
        <w:t>10</w:t>
      </w:r>
      <w:r w:rsidR="00B33C39">
        <w:t>)</w:t>
      </w:r>
      <w:r w:rsidR="00F31877">
        <w:t xml:space="preserve">, orthography was </w:t>
      </w:r>
      <w:r w:rsidR="00FB0C5E">
        <w:t xml:space="preserve">fully </w:t>
      </w:r>
      <w:r w:rsidR="00F31877">
        <w:t xml:space="preserve">retained </w:t>
      </w:r>
      <w:r w:rsidR="00F31877" w:rsidRPr="00F31877">
        <w:t>(</w:t>
      </w:r>
      <w:r w:rsidRPr="00F31877">
        <w:t>“0”</w:t>
      </w:r>
      <w:r w:rsidR="00F31877" w:rsidRPr="00F31877">
        <w:t>)</w:t>
      </w:r>
      <w:r w:rsidRPr="00F31877">
        <w:t xml:space="preserve"> </w:t>
      </w:r>
      <w:r w:rsidR="00F31877" w:rsidRPr="00F31877">
        <w:t>or had to be adjusted</w:t>
      </w:r>
      <w:r w:rsidRPr="00F31877">
        <w:t xml:space="preserve"> </w:t>
      </w:r>
      <w:r w:rsidR="00F31877" w:rsidRPr="00F31877">
        <w:t>(</w:t>
      </w:r>
      <w:r w:rsidRPr="00F31877">
        <w:t>“1”</w:t>
      </w:r>
      <w:r w:rsidR="00F31877" w:rsidRPr="00F31877">
        <w:t>)</w:t>
      </w:r>
      <w:r w:rsidRPr="00F31877">
        <w:t>.</w:t>
      </w:r>
    </w:p>
    <w:p w14:paraId="6F466850" w14:textId="72915045" w:rsidR="008428C7" w:rsidRDefault="008428C7" w:rsidP="008428C7">
      <w:pPr>
        <w:pStyle w:val="ListParagraph"/>
        <w:numPr>
          <w:ilvl w:val="0"/>
          <w:numId w:val="1"/>
        </w:numPr>
        <w:ind w:left="714" w:hanging="357"/>
      </w:pPr>
      <w:r w:rsidRPr="00F31877">
        <w:t xml:space="preserve">The column </w:t>
      </w:r>
      <w:r w:rsidRPr="00F31877">
        <w:rPr>
          <w:color w:val="806000" w:themeColor="accent4" w:themeShade="80"/>
        </w:rPr>
        <w:t>“</w:t>
      </w:r>
      <w:r w:rsidRPr="00F31877">
        <w:rPr>
          <w:b/>
          <w:bCs/>
          <w:color w:val="806000" w:themeColor="accent4" w:themeShade="80"/>
        </w:rPr>
        <w:t>Source</w:t>
      </w:r>
      <w:r w:rsidRPr="00F31877">
        <w:rPr>
          <w:color w:val="806000" w:themeColor="accent4" w:themeShade="80"/>
        </w:rPr>
        <w:t>”</w:t>
      </w:r>
      <w:r w:rsidRPr="00F31877">
        <w:t xml:space="preserve"> specifies the </w:t>
      </w:r>
      <w:r w:rsidR="00B33C39" w:rsidRPr="00F31877">
        <w:t xml:space="preserve">main </w:t>
      </w:r>
      <w:r w:rsidRPr="00F31877">
        <w:t>source</w:t>
      </w:r>
      <w:r w:rsidRPr="008428C7">
        <w:t xml:space="preserve"> </w:t>
      </w:r>
      <w:r>
        <w:t xml:space="preserve">for </w:t>
      </w:r>
      <w:r w:rsidRPr="008428C7">
        <w:t xml:space="preserve">the </w:t>
      </w:r>
      <w:r>
        <w:t xml:space="preserve">reported </w:t>
      </w:r>
      <w:r w:rsidRPr="008428C7">
        <w:t>data</w:t>
      </w:r>
      <w:r>
        <w:t>, with author name(s)</w:t>
      </w:r>
      <w:r w:rsidR="00F31877">
        <w:t>,</w:t>
      </w:r>
      <w:r>
        <w:t xml:space="preserve"> year of publication</w:t>
      </w:r>
      <w:r w:rsidR="00F31877">
        <w:t>,</w:t>
      </w:r>
      <w:r>
        <w:t xml:space="preserve"> and page number. If several sources </w:t>
      </w:r>
      <w:r w:rsidR="00FB0C5E">
        <w:t>a</w:t>
      </w:r>
      <w:r>
        <w:t>re available, as a general rule</w:t>
      </w:r>
      <w:r w:rsidR="00FB0C5E">
        <w:t xml:space="preserve"> </w:t>
      </w:r>
      <w:r>
        <w:t xml:space="preserve">the earliest most coherent report </w:t>
      </w:r>
      <w:r w:rsidR="00360CCB">
        <w:t>wa</w:t>
      </w:r>
      <w:r>
        <w:t>s chosen (</w:t>
      </w:r>
      <w:r w:rsidRPr="00031CCC">
        <w:t xml:space="preserve">see </w:t>
      </w:r>
      <w:r w:rsidR="00C70D32" w:rsidRPr="00C70D32">
        <w:rPr>
          <w:color w:val="4472C4" w:themeColor="accent1"/>
        </w:rPr>
        <w:t>Bender &amp; Beller, subm.</w:t>
      </w:r>
      <w:r w:rsidR="00C70D32">
        <w:t xml:space="preserve">, </w:t>
      </w:r>
      <w:r w:rsidRPr="00031CCC">
        <w:t xml:space="preserve">for </w:t>
      </w:r>
      <w:r>
        <w:t xml:space="preserve">more </w:t>
      </w:r>
      <w:r w:rsidRPr="00031CCC">
        <w:t xml:space="preserve">detailed </w:t>
      </w:r>
      <w:r w:rsidRPr="00031CCC">
        <w:lastRenderedPageBreak/>
        <w:t>information</w:t>
      </w:r>
      <w:r w:rsidR="00FB0C5E">
        <w:t xml:space="preserve"> and discussion</w:t>
      </w:r>
      <w:r>
        <w:t>).</w:t>
      </w:r>
      <w:r w:rsidR="00360CCB">
        <w:t xml:space="preserve"> Full bibliographic data is provided in a separate </w:t>
      </w:r>
      <w:r w:rsidR="00360CCB" w:rsidRPr="00D55A2A">
        <w:rPr>
          <w:i/>
          <w:iCs/>
          <w:color w:val="C00000"/>
        </w:rPr>
        <w:t>source file</w:t>
      </w:r>
      <w:r w:rsidR="00360CCB" w:rsidRPr="00D55A2A">
        <w:rPr>
          <w:color w:val="C00000"/>
        </w:rPr>
        <w:t xml:space="preserve"> </w:t>
      </w:r>
      <w:r w:rsidR="00360CCB">
        <w:t xml:space="preserve">(see </w:t>
      </w:r>
      <w:r w:rsidR="00C70D32">
        <w:t>(2) below</w:t>
      </w:r>
      <w:r w:rsidR="00360CCB">
        <w:t>).</w:t>
      </w:r>
    </w:p>
    <w:p w14:paraId="3CC94149" w14:textId="14FF34EE" w:rsidR="008428C7" w:rsidRDefault="008428C7" w:rsidP="008428C7">
      <w:pPr>
        <w:pStyle w:val="ListParagraph"/>
        <w:numPr>
          <w:ilvl w:val="0"/>
          <w:numId w:val="1"/>
        </w:numPr>
        <w:ind w:left="714" w:hanging="357"/>
      </w:pPr>
      <w:r>
        <w:t xml:space="preserve">The column </w:t>
      </w:r>
      <w:r w:rsidRPr="00A96674">
        <w:rPr>
          <w:color w:val="806000" w:themeColor="accent4" w:themeShade="80"/>
        </w:rPr>
        <w:t>“</w:t>
      </w:r>
      <w:r w:rsidRPr="00F31877">
        <w:rPr>
          <w:b/>
          <w:bCs/>
          <w:color w:val="806000" w:themeColor="accent4" w:themeShade="80"/>
        </w:rPr>
        <w:t>comm_Source</w:t>
      </w:r>
      <w:r w:rsidRPr="00A96674">
        <w:rPr>
          <w:color w:val="806000" w:themeColor="accent4" w:themeShade="80"/>
        </w:rPr>
        <w:t>”</w:t>
      </w:r>
      <w:r w:rsidRPr="008428C7">
        <w:t xml:space="preserve"> </w:t>
      </w:r>
      <w:r w:rsidR="00F31877">
        <w:t>contains comments on</w:t>
      </w:r>
      <w:r>
        <w:t xml:space="preserve"> </w:t>
      </w:r>
      <w:r w:rsidR="00F31877">
        <w:t xml:space="preserve">sources, such as notes on </w:t>
      </w:r>
      <w:r>
        <w:t>inconsistencies in the source</w:t>
      </w:r>
      <w:r w:rsidR="00F31877">
        <w:t xml:space="preserve"> used (</w:t>
      </w:r>
      <w:r>
        <w:t>if such occur</w:t>
      </w:r>
      <w:r w:rsidR="00F31877">
        <w:t xml:space="preserve">) or </w:t>
      </w:r>
      <w:r>
        <w:t>refer</w:t>
      </w:r>
      <w:r w:rsidR="00F31877">
        <w:t>ences</w:t>
      </w:r>
      <w:r>
        <w:t xml:space="preserve"> to additional sources where available.</w:t>
      </w:r>
    </w:p>
    <w:p w14:paraId="013B4A8F" w14:textId="4BC155CF" w:rsidR="008428C7" w:rsidRPr="00031CCC" w:rsidRDefault="008428C7" w:rsidP="008428C7">
      <w:pPr>
        <w:pStyle w:val="ListParagraph"/>
        <w:numPr>
          <w:ilvl w:val="0"/>
          <w:numId w:val="1"/>
        </w:numPr>
        <w:ind w:left="714" w:hanging="357"/>
      </w:pPr>
      <w:r>
        <w:t>The</w:t>
      </w:r>
      <w:r w:rsidR="00F31877">
        <w:t xml:space="preserve"> final</w:t>
      </w:r>
      <w:r>
        <w:t xml:space="preserve"> column </w:t>
      </w:r>
      <w:r w:rsidRPr="00A96674">
        <w:rPr>
          <w:color w:val="806000" w:themeColor="accent4" w:themeShade="80"/>
        </w:rPr>
        <w:t>“</w:t>
      </w:r>
      <w:r w:rsidRPr="00F31877">
        <w:rPr>
          <w:b/>
          <w:bCs/>
          <w:color w:val="806000" w:themeColor="accent4" w:themeShade="80"/>
        </w:rPr>
        <w:t>comm_Syst</w:t>
      </w:r>
      <w:r w:rsidRPr="00A96674">
        <w:rPr>
          <w:color w:val="806000" w:themeColor="accent4" w:themeShade="80"/>
        </w:rPr>
        <w:t>”</w:t>
      </w:r>
      <w:r w:rsidRPr="008428C7">
        <w:t xml:space="preserve"> </w:t>
      </w:r>
      <w:r>
        <w:t>contain</w:t>
      </w:r>
      <w:r w:rsidR="00C70D32">
        <w:t>s</w:t>
      </w:r>
      <w:r>
        <w:t xml:space="preserve"> explanat</w:t>
      </w:r>
      <w:r w:rsidR="00F31877">
        <w:t>ory information</w:t>
      </w:r>
      <w:r>
        <w:t xml:space="preserve"> o</w:t>
      </w:r>
      <w:r w:rsidR="00F31877">
        <w:t>n</w:t>
      </w:r>
      <w:r>
        <w:t xml:space="preserve"> </w:t>
      </w:r>
      <w:r w:rsidR="00CA0846">
        <w:t>numerals</w:t>
      </w:r>
      <w:r>
        <w:t xml:space="preserve">, </w:t>
      </w:r>
      <w:r w:rsidR="00D55A2A">
        <w:t xml:space="preserve">patterns, or context, </w:t>
      </w:r>
      <w:r w:rsidR="00CA0846">
        <w:t>including notes on when to use which alternative for the same number</w:t>
      </w:r>
      <w:r w:rsidR="00D55A2A">
        <w:t xml:space="preserve"> and on specific counting systems</w:t>
      </w:r>
      <w:r>
        <w:t>.</w:t>
      </w:r>
    </w:p>
    <w:p w14:paraId="03C6D75F" w14:textId="77777777" w:rsidR="002D76A1" w:rsidRPr="00031CCC" w:rsidRDefault="002D76A1" w:rsidP="00031CCC">
      <w:pPr>
        <w:pStyle w:val="Heading3"/>
      </w:pPr>
      <w:r w:rsidRPr="00031CCC">
        <w:t>Data usage</w:t>
      </w:r>
    </w:p>
    <w:p w14:paraId="475E7F0B" w14:textId="5096B3B4" w:rsidR="00D55A2A" w:rsidRPr="00D55A2A" w:rsidRDefault="00FC25BA" w:rsidP="00E02E5E">
      <w:r w:rsidRPr="00D55A2A">
        <w:t xml:space="preserve">The </w:t>
      </w:r>
      <w:r w:rsidR="00F31877" w:rsidRPr="00D55A2A">
        <w:t xml:space="preserve">power numerals reported in </w:t>
      </w:r>
      <w:r w:rsidR="00F77EC2" w:rsidRPr="00D55A2A">
        <w:t xml:space="preserve">columns </w:t>
      </w:r>
      <w:r w:rsidR="006251A2" w:rsidRPr="00D55A2A">
        <w:rPr>
          <w:color w:val="806000" w:themeColor="accent4" w:themeShade="80"/>
        </w:rPr>
        <w:t>“</w:t>
      </w:r>
      <w:r w:rsidR="00F31877" w:rsidRPr="00D55A2A">
        <w:rPr>
          <w:b/>
          <w:bCs/>
          <w:color w:val="806000" w:themeColor="accent4" w:themeShade="80"/>
        </w:rPr>
        <w:t>10^1</w:t>
      </w:r>
      <w:r w:rsidR="006251A2" w:rsidRPr="00D55A2A">
        <w:rPr>
          <w:color w:val="806000" w:themeColor="accent4" w:themeShade="80"/>
        </w:rPr>
        <w:t>”</w:t>
      </w:r>
      <w:r w:rsidR="00F31877" w:rsidRPr="00D55A2A">
        <w:t xml:space="preserve"> to</w:t>
      </w:r>
      <w:r w:rsidR="00F77EC2" w:rsidRPr="00D55A2A">
        <w:t xml:space="preserve"> </w:t>
      </w:r>
      <w:r w:rsidR="006251A2" w:rsidRPr="00D55A2A">
        <w:rPr>
          <w:color w:val="806000" w:themeColor="accent4" w:themeShade="80"/>
        </w:rPr>
        <w:t>“</w:t>
      </w:r>
      <w:r w:rsidR="00F31877" w:rsidRPr="00D55A2A">
        <w:rPr>
          <w:b/>
          <w:bCs/>
          <w:color w:val="806000" w:themeColor="accent4" w:themeShade="80"/>
        </w:rPr>
        <w:t>10^10</w:t>
      </w:r>
      <w:r w:rsidR="006251A2" w:rsidRPr="00D55A2A">
        <w:rPr>
          <w:color w:val="806000" w:themeColor="accent4" w:themeShade="80"/>
        </w:rPr>
        <w:t>”</w:t>
      </w:r>
      <w:r w:rsidR="00F31877" w:rsidRPr="00D55A2A">
        <w:t xml:space="preserve"> constitute the main data of </w:t>
      </w:r>
      <w:r w:rsidR="00F77EC2" w:rsidRPr="00D55A2A">
        <w:rPr>
          <w:color w:val="2F5496" w:themeColor="accent1" w:themeShade="BF"/>
        </w:rPr>
        <w:t xml:space="preserve">Figure </w:t>
      </w:r>
      <w:r w:rsidR="00F31877" w:rsidRPr="00D55A2A">
        <w:rPr>
          <w:color w:val="2F5496" w:themeColor="accent1" w:themeShade="BF"/>
        </w:rPr>
        <w:t>6</w:t>
      </w:r>
      <w:r w:rsidR="00F77EC2" w:rsidRPr="00D55A2A">
        <w:rPr>
          <w:color w:val="0070C0"/>
        </w:rPr>
        <w:t xml:space="preserve"> </w:t>
      </w:r>
      <w:r w:rsidR="00F31877" w:rsidRPr="00D55A2A">
        <w:t xml:space="preserve">in </w:t>
      </w:r>
      <w:r w:rsidR="00F77EC2" w:rsidRPr="00D55A2A">
        <w:t>the manuscript</w:t>
      </w:r>
      <w:r w:rsidR="00C70D32">
        <w:t xml:space="preserve"> (</w:t>
      </w:r>
      <w:r w:rsidR="00C70D32" w:rsidRPr="00C70D32">
        <w:rPr>
          <w:color w:val="4472C4" w:themeColor="accent1"/>
        </w:rPr>
        <w:t>Bender &amp; Beller, subm.</w:t>
      </w:r>
      <w:r w:rsidR="00C70D32">
        <w:t>)</w:t>
      </w:r>
      <w:r w:rsidR="00F77EC2" w:rsidRPr="00D55A2A">
        <w:t xml:space="preserve">, </w:t>
      </w:r>
      <w:r w:rsidR="00CF2167" w:rsidRPr="00D55A2A">
        <w:t xml:space="preserve">which </w:t>
      </w:r>
      <w:r w:rsidR="00FB0C5E" w:rsidRPr="00D55A2A">
        <w:t>illustrates</w:t>
      </w:r>
      <w:r w:rsidR="00CF2167" w:rsidRPr="00D55A2A">
        <w:t xml:space="preserve"> the distribution </w:t>
      </w:r>
      <w:r w:rsidR="00CF2167" w:rsidRPr="00D55A2A">
        <w:rPr>
          <w:rFonts w:ascii="Calibri" w:hAnsi="Calibri" w:cs="Calibri"/>
        </w:rPr>
        <w:t>of power numerals in the Micronesian languages, indicating</w:t>
      </w:r>
      <w:r w:rsidR="00E02E5E" w:rsidRPr="00D55A2A">
        <w:rPr>
          <w:rFonts w:ascii="Calibri" w:hAnsi="Calibri" w:cs="Calibri"/>
        </w:rPr>
        <w:t xml:space="preserve"> for each language</w:t>
      </w:r>
      <w:r w:rsidR="00CF2167" w:rsidRPr="00D55A2A">
        <w:rPr>
          <w:rFonts w:ascii="Calibri" w:hAnsi="Calibri" w:cs="Calibri"/>
        </w:rPr>
        <w:t xml:space="preserve"> the range of power numerals (</w:t>
      </w:r>
      <w:r w:rsidR="00CF2167" w:rsidRPr="00D55A2A">
        <w:rPr>
          <w:color w:val="2F5496" w:themeColor="accent1" w:themeShade="BF"/>
        </w:rPr>
        <w:t>Fig. 6a</w:t>
      </w:r>
      <w:r w:rsidR="00CF2167" w:rsidRPr="00D55A2A">
        <w:rPr>
          <w:rFonts w:ascii="Calibri" w:hAnsi="Calibri" w:cs="Calibri"/>
        </w:rPr>
        <w:t xml:space="preserve">) and </w:t>
      </w:r>
      <w:r w:rsidR="00E02E5E" w:rsidRPr="00D55A2A">
        <w:rPr>
          <w:rFonts w:ascii="Calibri" w:hAnsi="Calibri" w:cs="Calibri"/>
        </w:rPr>
        <w:t xml:space="preserve">the roots of which numerals are reflexes, detailed for </w:t>
      </w:r>
      <w:r w:rsidR="00D55A2A">
        <w:rPr>
          <w:rFonts w:ascii="Calibri" w:hAnsi="Calibri" w:cs="Calibri"/>
        </w:rPr>
        <w:t xml:space="preserve">base </w:t>
      </w:r>
      <w:r w:rsidR="00CF2167" w:rsidRPr="00D55A2A">
        <w:rPr>
          <w:rFonts w:ascii="Calibri" w:hAnsi="Calibri" w:cs="Calibri"/>
        </w:rPr>
        <w:t>10 (</w:t>
      </w:r>
      <w:r w:rsidR="00CF2167" w:rsidRPr="00D55A2A">
        <w:rPr>
          <w:color w:val="2F5496" w:themeColor="accent1" w:themeShade="BF"/>
        </w:rPr>
        <w:t>Fig. 6b</w:t>
      </w:r>
      <w:r w:rsidR="00CF2167" w:rsidRPr="00D55A2A">
        <w:rPr>
          <w:rFonts w:ascii="Calibri" w:hAnsi="Calibri" w:cs="Calibri"/>
        </w:rPr>
        <w:t>)</w:t>
      </w:r>
      <w:r w:rsidR="00E02E5E" w:rsidRPr="00D55A2A">
        <w:rPr>
          <w:rFonts w:ascii="Calibri" w:hAnsi="Calibri" w:cs="Calibri"/>
        </w:rPr>
        <w:t xml:space="preserve"> as well as</w:t>
      </w:r>
      <w:r w:rsidR="00CF2167" w:rsidRPr="00D55A2A">
        <w:rPr>
          <w:rFonts w:ascii="Calibri" w:hAnsi="Calibri" w:cs="Calibri"/>
        </w:rPr>
        <w:t xml:space="preserve"> for </w:t>
      </w:r>
      <w:r w:rsidR="00D55A2A">
        <w:rPr>
          <w:rFonts w:ascii="Calibri" w:hAnsi="Calibri" w:cs="Calibri"/>
        </w:rPr>
        <w:t xml:space="preserve">the next two powers of the base, </w:t>
      </w:r>
      <w:r w:rsidR="00CF2167" w:rsidRPr="00D55A2A">
        <w:rPr>
          <w:rFonts w:ascii="Calibri" w:hAnsi="Calibri" w:cs="Calibri"/>
        </w:rPr>
        <w:t>100 and 1000 (</w:t>
      </w:r>
      <w:r w:rsidR="00CF2167" w:rsidRPr="00D55A2A">
        <w:rPr>
          <w:color w:val="2F5496" w:themeColor="accent1" w:themeShade="BF"/>
        </w:rPr>
        <w:t>Fig. 6c</w:t>
      </w:r>
      <w:r w:rsidR="00CF2167" w:rsidRPr="00D55A2A">
        <w:rPr>
          <w:rFonts w:ascii="Calibri" w:hAnsi="Calibri" w:cs="Calibri"/>
        </w:rPr>
        <w:t>)</w:t>
      </w:r>
      <w:r w:rsidR="00070C93" w:rsidRPr="00D55A2A">
        <w:t xml:space="preserve">. </w:t>
      </w:r>
      <w:r w:rsidR="00D55A2A" w:rsidRPr="00D55A2A">
        <w:t xml:space="preserve">For further discussion, see the </w:t>
      </w:r>
      <w:r w:rsidR="00C70D32">
        <w:t>manuscript</w:t>
      </w:r>
      <w:r w:rsidR="00D55A2A" w:rsidRPr="00D55A2A">
        <w:t>.</w:t>
      </w:r>
    </w:p>
    <w:p w14:paraId="04D62B82" w14:textId="27140DB4" w:rsidR="00070C93" w:rsidRPr="00CF2167" w:rsidRDefault="00CF2167" w:rsidP="00E02E5E">
      <w:pPr>
        <w:rPr>
          <w:rFonts w:ascii="Calibri" w:hAnsi="Calibri" w:cs="Calibri"/>
          <w:lang w:val="en-US"/>
        </w:rPr>
      </w:pPr>
      <w:r>
        <w:t xml:space="preserve">In addition, Pohnpeian power numerals are </w:t>
      </w:r>
      <w:r w:rsidR="00E02E5E">
        <w:t>presented</w:t>
      </w:r>
      <w:r>
        <w:t xml:space="preserve"> in </w:t>
      </w:r>
      <w:r w:rsidRPr="00CF2167">
        <w:rPr>
          <w:color w:val="2F5496" w:themeColor="accent1" w:themeShade="BF"/>
        </w:rPr>
        <w:t>Figure 8</w:t>
      </w:r>
      <w:r>
        <w:t xml:space="preserve">, and Woleaian power numerals in </w:t>
      </w:r>
      <w:r w:rsidRPr="00CF2167">
        <w:rPr>
          <w:color w:val="2F5496" w:themeColor="accent1" w:themeShade="BF"/>
        </w:rPr>
        <w:t>Figure 10</w:t>
      </w:r>
      <w:r w:rsidR="00E02E5E">
        <w:t xml:space="preserve"> of the manuscript.</w:t>
      </w:r>
    </w:p>
    <w:p w14:paraId="2993F324" w14:textId="63530DC2" w:rsidR="00D55A2A" w:rsidRPr="00801185" w:rsidRDefault="00D55A2A" w:rsidP="00D55A2A">
      <w:pPr>
        <w:pStyle w:val="Heading2"/>
      </w:pPr>
      <w:r w:rsidRPr="00801185">
        <w:t>(</w:t>
      </w:r>
      <w:r>
        <w:t>2</w:t>
      </w:r>
      <w:r w:rsidRPr="00801185">
        <w:t xml:space="preserve">) </w:t>
      </w:r>
      <w:r>
        <w:t>Source file</w:t>
      </w:r>
    </w:p>
    <w:p w14:paraId="2BE373A3" w14:textId="0443B953" w:rsidR="00D55A2A" w:rsidRDefault="00D55A2A" w:rsidP="00D55A2A">
      <w:pPr>
        <w:pStyle w:val="Heading3"/>
      </w:pPr>
      <w:r>
        <w:t>F</w:t>
      </w:r>
      <w:r w:rsidRPr="00031CCC">
        <w:t>ile description</w:t>
      </w:r>
    </w:p>
    <w:p w14:paraId="35296392" w14:textId="05CFADEA" w:rsidR="00D55A2A" w:rsidRPr="00D55A2A" w:rsidRDefault="00D55A2A" w:rsidP="00D55A2A">
      <w:r>
        <w:t>Text … [still missing</w:t>
      </w:r>
      <w:r w:rsidR="00C70D32">
        <w:t xml:space="preserve"> – awaiting further instructions</w:t>
      </w:r>
      <w:r>
        <w:t xml:space="preserve"> :-)] </w:t>
      </w:r>
    </w:p>
    <w:p w14:paraId="07DF6558" w14:textId="62919AD2" w:rsidR="00893CFE" w:rsidRPr="00801185" w:rsidRDefault="00893CFE" w:rsidP="00360CCB">
      <w:pPr>
        <w:pStyle w:val="Heading2"/>
      </w:pPr>
      <w:r w:rsidRPr="00801185">
        <w:t>(</w:t>
      </w:r>
      <w:r w:rsidR="00D55A2A">
        <w:t>3</w:t>
      </w:r>
      <w:r w:rsidRPr="00801185">
        <w:t xml:space="preserve">) </w:t>
      </w:r>
      <w:r>
        <w:t>Transcription sheet</w:t>
      </w:r>
    </w:p>
    <w:p w14:paraId="203FA395" w14:textId="035E4C47" w:rsidR="00893CFE" w:rsidRPr="00031CCC" w:rsidRDefault="00893CFE" w:rsidP="00893CFE">
      <w:pPr>
        <w:pStyle w:val="Heading3"/>
      </w:pPr>
      <w:r>
        <w:t>F</w:t>
      </w:r>
      <w:r w:rsidRPr="00031CCC">
        <w:t>ile description</w:t>
      </w:r>
    </w:p>
    <w:p w14:paraId="0238C64F" w14:textId="71F1D54C" w:rsidR="00893CFE" w:rsidRDefault="00893CFE" w:rsidP="00893CFE">
      <w:r w:rsidRPr="00031CCC">
        <w:t>Th</w:t>
      </w:r>
      <w:r>
        <w:t>e</w:t>
      </w:r>
      <w:r w:rsidRPr="00031CCC">
        <w:t xml:space="preserve"> </w:t>
      </w:r>
      <w:r w:rsidRPr="00C70D32">
        <w:t>transcription sheet</w:t>
      </w:r>
      <w:r w:rsidRPr="00031CCC">
        <w:t xml:space="preserve"> </w:t>
      </w:r>
      <w:r>
        <w:t xml:space="preserve">specifies how </w:t>
      </w:r>
      <w:r w:rsidR="00E02E5E">
        <w:t xml:space="preserve">orthography is handled when transferring numerals from the written sources to the data file. </w:t>
      </w:r>
      <w:r>
        <w:t xml:space="preserve">As explained above, the original </w:t>
      </w:r>
      <w:r w:rsidRPr="00FB0C5E">
        <w:t>orthography</w:t>
      </w:r>
      <w:r>
        <w:t xml:space="preserve"> of the source was adopted as </w:t>
      </w:r>
      <w:r w:rsidR="00FB0C5E">
        <w:t xml:space="preserve">accurately </w:t>
      </w:r>
      <w:r>
        <w:t>as possible. Where it was not possible to find a single sign to represent the exact combination of letter and diacritics used in the source, a different sign was chosen so that the same new sign was used consistently for all words using the same combination of letter and diacritics.</w:t>
      </w:r>
      <w:r w:rsidR="00E02E5E" w:rsidRPr="00E02E5E">
        <w:t xml:space="preserve"> </w:t>
      </w:r>
    </w:p>
    <w:p w14:paraId="07FD73DC" w14:textId="77777777" w:rsidR="00C70D32" w:rsidRDefault="00893CFE" w:rsidP="00893CFE">
      <w:r>
        <w:t>The transcription sheet details</w:t>
      </w:r>
      <w:r w:rsidR="00E02E5E">
        <w:t xml:space="preserve"> </w:t>
      </w:r>
      <w:r w:rsidR="008D2356">
        <w:t xml:space="preserve">which specific signs </w:t>
      </w:r>
      <w:r w:rsidR="000F1BFF">
        <w:t xml:space="preserve">were retained, and which </w:t>
      </w:r>
      <w:r>
        <w:t>had to be replaced</w:t>
      </w:r>
      <w:r w:rsidR="000F1BFF">
        <w:t xml:space="preserve">. In the latter case, a scan of the letter in original orthography was inserted. </w:t>
      </w:r>
    </w:p>
    <w:p w14:paraId="24CA8C48" w14:textId="46ABE922" w:rsidR="00893CFE" w:rsidRPr="00C70D32" w:rsidRDefault="00C70D32" w:rsidP="00893CFE">
      <w:pPr>
        <w:rPr>
          <w:lang w:val="en-US"/>
        </w:rPr>
      </w:pPr>
      <w:r>
        <w:t>As noted earlier, l</w:t>
      </w:r>
      <w:r w:rsidR="000F1BFF">
        <w:t>igature markings were ignored.</w:t>
      </w:r>
    </w:p>
    <w:p w14:paraId="16F5D24C" w14:textId="38CA313F" w:rsidR="00893CFE" w:rsidRPr="00031CCC" w:rsidRDefault="00893CFE" w:rsidP="00893CFE">
      <w:pPr>
        <w:pStyle w:val="Heading3"/>
      </w:pPr>
      <w:r>
        <w:t>F</w:t>
      </w:r>
      <w:r w:rsidRPr="00031CCC">
        <w:t>ile structure</w:t>
      </w:r>
    </w:p>
    <w:p w14:paraId="3B60B3D2" w14:textId="60B66632" w:rsidR="00893CFE" w:rsidRPr="00CA0846" w:rsidRDefault="000F1BFF" w:rsidP="00893CFE">
      <w:pPr>
        <w:rPr>
          <w:u w:val="single"/>
        </w:rPr>
      </w:pPr>
      <w:r>
        <w:t xml:space="preserve">The overview contains two parts: a complete list for vowels </w:t>
      </w:r>
      <w:r w:rsidR="00E02E5E">
        <w:t>with all diacritics used</w:t>
      </w:r>
      <w:r>
        <w:t xml:space="preserve">, and a list of </w:t>
      </w:r>
      <w:r w:rsidR="008D2356">
        <w:t xml:space="preserve">the </w:t>
      </w:r>
      <w:r>
        <w:t>non-standard consonants used. Those shaded blue were retained, those shaded red had to be modified (a box with notes explains the colour coding).</w:t>
      </w:r>
    </w:p>
    <w:sectPr w:rsidR="00893CFE" w:rsidRPr="00CA084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B2C7C" w14:textId="77777777" w:rsidR="006862F1" w:rsidRDefault="006862F1" w:rsidP="006862F1">
      <w:pPr>
        <w:spacing w:before="0" w:line="240" w:lineRule="auto"/>
      </w:pPr>
      <w:r>
        <w:separator/>
      </w:r>
    </w:p>
  </w:endnote>
  <w:endnote w:type="continuationSeparator" w:id="0">
    <w:p w14:paraId="6DF15B1B" w14:textId="77777777" w:rsidR="006862F1" w:rsidRDefault="006862F1" w:rsidP="006862F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C483" w14:textId="0FE80E59" w:rsidR="006862F1" w:rsidRPr="00D73E7D" w:rsidRDefault="00B628D4">
    <w:pPr>
      <w:pStyle w:val="Footer"/>
      <w:rPr>
        <w:noProof/>
        <w:color w:val="808080" w:themeColor="background1" w:themeShade="80"/>
        <w:sz w:val="18"/>
        <w:szCs w:val="18"/>
      </w:rPr>
    </w:pPr>
    <w:r>
      <w:rPr>
        <w:color w:val="808080" w:themeColor="background1" w:themeShade="80"/>
        <w:sz w:val="18"/>
        <w:szCs w:val="18"/>
      </w:rPr>
      <w:t>0a_ReadMe.pdf</w:t>
    </w:r>
    <w:r w:rsidRPr="00D73E7D">
      <w:rPr>
        <w:color w:val="808080" w:themeColor="background1" w:themeShade="80"/>
        <w:sz w:val="18"/>
        <w:szCs w:val="18"/>
      </w:rPr>
      <w:t xml:space="preserve"> </w:t>
    </w:r>
    <w:r w:rsidR="006862F1" w:rsidRPr="00D73E7D">
      <w:rPr>
        <w:color w:val="808080" w:themeColor="background1" w:themeShade="80"/>
        <w:sz w:val="18"/>
        <w:szCs w:val="18"/>
      </w:rPr>
      <w:ptab w:relativeTo="margin" w:alignment="center" w:leader="none"/>
    </w:r>
    <w:r w:rsidR="006862F1" w:rsidRPr="00D73E7D">
      <w:rPr>
        <w:color w:val="808080" w:themeColor="background1" w:themeShade="80"/>
        <w:sz w:val="18"/>
        <w:szCs w:val="18"/>
      </w:rPr>
      <w:t>202</w:t>
    </w:r>
    <w:r w:rsidR="00CA0846">
      <w:rPr>
        <w:color w:val="808080" w:themeColor="background1" w:themeShade="80"/>
        <w:sz w:val="18"/>
        <w:szCs w:val="18"/>
      </w:rPr>
      <w:t>1</w:t>
    </w:r>
    <w:r w:rsidR="003C2DC1">
      <w:rPr>
        <w:color w:val="808080" w:themeColor="background1" w:themeShade="80"/>
        <w:sz w:val="18"/>
        <w:szCs w:val="18"/>
      </w:rPr>
      <w:t>/</w:t>
    </w:r>
    <w:r w:rsidR="00CA0846">
      <w:rPr>
        <w:color w:val="808080" w:themeColor="background1" w:themeShade="80"/>
        <w:sz w:val="18"/>
        <w:szCs w:val="18"/>
      </w:rPr>
      <w:t>0</w:t>
    </w:r>
    <w:r w:rsidR="00A34254">
      <w:rPr>
        <w:color w:val="808080" w:themeColor="background1" w:themeShade="80"/>
        <w:sz w:val="18"/>
        <w:szCs w:val="18"/>
      </w:rPr>
      <w:t>4</w:t>
    </w:r>
    <w:r w:rsidR="003C2DC1">
      <w:rPr>
        <w:color w:val="808080" w:themeColor="background1" w:themeShade="80"/>
        <w:sz w:val="18"/>
        <w:szCs w:val="18"/>
      </w:rPr>
      <w:t>/</w:t>
    </w:r>
    <w:r w:rsidR="00A34254">
      <w:rPr>
        <w:color w:val="808080" w:themeColor="background1" w:themeShade="80"/>
        <w:sz w:val="18"/>
        <w:szCs w:val="18"/>
      </w:rPr>
      <w:t>1</w:t>
    </w:r>
    <w:r w:rsidR="00723179">
      <w:rPr>
        <w:color w:val="808080" w:themeColor="background1" w:themeShade="80"/>
        <w:sz w:val="18"/>
        <w:szCs w:val="18"/>
      </w:rPr>
      <w:t>2</w:t>
    </w:r>
    <w:r w:rsidR="006862F1" w:rsidRPr="00D73E7D">
      <w:rPr>
        <w:color w:val="808080" w:themeColor="background1" w:themeShade="80"/>
        <w:sz w:val="18"/>
        <w:szCs w:val="18"/>
      </w:rPr>
      <w:ptab w:relativeTo="margin" w:alignment="right" w:leader="none"/>
    </w:r>
    <w:r w:rsidR="006862F1" w:rsidRPr="00D73E7D">
      <w:rPr>
        <w:color w:val="808080" w:themeColor="background1" w:themeShade="80"/>
        <w:sz w:val="18"/>
        <w:szCs w:val="18"/>
      </w:rPr>
      <w:fldChar w:fldCharType="begin"/>
    </w:r>
    <w:r w:rsidR="006862F1" w:rsidRPr="00D73E7D">
      <w:rPr>
        <w:color w:val="808080" w:themeColor="background1" w:themeShade="80"/>
        <w:sz w:val="18"/>
        <w:szCs w:val="18"/>
      </w:rPr>
      <w:instrText xml:space="preserve"> PAGE   \* MERGEFORMAT </w:instrText>
    </w:r>
    <w:r w:rsidR="006862F1" w:rsidRPr="00D73E7D">
      <w:rPr>
        <w:color w:val="808080" w:themeColor="background1" w:themeShade="80"/>
        <w:sz w:val="18"/>
        <w:szCs w:val="18"/>
      </w:rPr>
      <w:fldChar w:fldCharType="separate"/>
    </w:r>
    <w:r w:rsidR="006862F1" w:rsidRPr="00D73E7D">
      <w:rPr>
        <w:noProof/>
        <w:color w:val="808080" w:themeColor="background1" w:themeShade="80"/>
        <w:sz w:val="18"/>
        <w:szCs w:val="18"/>
      </w:rPr>
      <w:t>1</w:t>
    </w:r>
    <w:r w:rsidR="006862F1" w:rsidRPr="00D73E7D">
      <w:rPr>
        <w:noProof/>
        <w:color w:val="808080" w:themeColor="background1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A988A" w14:textId="77777777" w:rsidR="006862F1" w:rsidRDefault="006862F1" w:rsidP="006862F1">
      <w:pPr>
        <w:spacing w:before="0" w:line="240" w:lineRule="auto"/>
      </w:pPr>
      <w:r>
        <w:separator/>
      </w:r>
    </w:p>
  </w:footnote>
  <w:footnote w:type="continuationSeparator" w:id="0">
    <w:p w14:paraId="6F2CCC58" w14:textId="77777777" w:rsidR="006862F1" w:rsidRDefault="006862F1" w:rsidP="006862F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52106"/>
    <w:multiLevelType w:val="hybridMultilevel"/>
    <w:tmpl w:val="37BCAA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ABF"/>
    <w:multiLevelType w:val="hybridMultilevel"/>
    <w:tmpl w:val="826AA8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67399"/>
    <w:multiLevelType w:val="hybridMultilevel"/>
    <w:tmpl w:val="1FFA2E5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17DC0"/>
    <w:multiLevelType w:val="hybridMultilevel"/>
    <w:tmpl w:val="EDA6A2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6A1"/>
    <w:rsid w:val="00002798"/>
    <w:rsid w:val="00031CCC"/>
    <w:rsid w:val="00036C8E"/>
    <w:rsid w:val="00066828"/>
    <w:rsid w:val="00070C93"/>
    <w:rsid w:val="000F1BFF"/>
    <w:rsid w:val="00130F23"/>
    <w:rsid w:val="001A0F26"/>
    <w:rsid w:val="001A2391"/>
    <w:rsid w:val="00221096"/>
    <w:rsid w:val="00227038"/>
    <w:rsid w:val="002A479C"/>
    <w:rsid w:val="002D76A1"/>
    <w:rsid w:val="003219D5"/>
    <w:rsid w:val="00323C9C"/>
    <w:rsid w:val="00336EE1"/>
    <w:rsid w:val="00341E59"/>
    <w:rsid w:val="00360CCB"/>
    <w:rsid w:val="003C2DC1"/>
    <w:rsid w:val="00462B5A"/>
    <w:rsid w:val="004A34C8"/>
    <w:rsid w:val="00522ACC"/>
    <w:rsid w:val="005713FB"/>
    <w:rsid w:val="00580D23"/>
    <w:rsid w:val="006251A2"/>
    <w:rsid w:val="00637E4E"/>
    <w:rsid w:val="006862F1"/>
    <w:rsid w:val="006C7A16"/>
    <w:rsid w:val="00723179"/>
    <w:rsid w:val="00741CE2"/>
    <w:rsid w:val="00797EE4"/>
    <w:rsid w:val="007A2072"/>
    <w:rsid w:val="007E176E"/>
    <w:rsid w:val="00801185"/>
    <w:rsid w:val="008428C7"/>
    <w:rsid w:val="008905C2"/>
    <w:rsid w:val="00893CFE"/>
    <w:rsid w:val="00895189"/>
    <w:rsid w:val="008B11A0"/>
    <w:rsid w:val="008D2356"/>
    <w:rsid w:val="008E3FA2"/>
    <w:rsid w:val="009218BF"/>
    <w:rsid w:val="00921C23"/>
    <w:rsid w:val="00943CF5"/>
    <w:rsid w:val="009442E4"/>
    <w:rsid w:val="009B4219"/>
    <w:rsid w:val="009C0BC3"/>
    <w:rsid w:val="00A14CA2"/>
    <w:rsid w:val="00A34254"/>
    <w:rsid w:val="00A72DB0"/>
    <w:rsid w:val="00A82C89"/>
    <w:rsid w:val="00A96674"/>
    <w:rsid w:val="00AE7D09"/>
    <w:rsid w:val="00AF1ACB"/>
    <w:rsid w:val="00B02F70"/>
    <w:rsid w:val="00B160E0"/>
    <w:rsid w:val="00B33C39"/>
    <w:rsid w:val="00B628D4"/>
    <w:rsid w:val="00BE76DF"/>
    <w:rsid w:val="00C03C77"/>
    <w:rsid w:val="00C2365E"/>
    <w:rsid w:val="00C2758E"/>
    <w:rsid w:val="00C3184F"/>
    <w:rsid w:val="00C623D3"/>
    <w:rsid w:val="00C70D32"/>
    <w:rsid w:val="00CA0846"/>
    <w:rsid w:val="00CB0918"/>
    <w:rsid w:val="00CC3B87"/>
    <w:rsid w:val="00CF2167"/>
    <w:rsid w:val="00D26ED2"/>
    <w:rsid w:val="00D54E4A"/>
    <w:rsid w:val="00D55A2A"/>
    <w:rsid w:val="00D73E7D"/>
    <w:rsid w:val="00DD2053"/>
    <w:rsid w:val="00E02E5E"/>
    <w:rsid w:val="00EE1D63"/>
    <w:rsid w:val="00F05225"/>
    <w:rsid w:val="00F31877"/>
    <w:rsid w:val="00F7606B"/>
    <w:rsid w:val="00F77EC2"/>
    <w:rsid w:val="00FB0C5E"/>
    <w:rsid w:val="00F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1FD90B23"/>
  <w15:chartTrackingRefBased/>
  <w15:docId w15:val="{DB91F36A-77B9-41D9-85FF-7CDD2F31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CC"/>
    <w:pPr>
      <w:spacing w:before="120" w:after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6A1"/>
    <w:pPr>
      <w:keepNext/>
      <w:keepLines/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CCB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F70"/>
    <w:pPr>
      <w:keepNext/>
      <w:keepLines/>
      <w:spacing w:before="18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254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6A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6A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76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0C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02F7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31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76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51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1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18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1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18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189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189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862F1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2F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862F1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2F1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275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F2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3425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ttolog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rea.Bender@uib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1183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Bender</dc:creator>
  <cp:keywords/>
  <dc:description/>
  <cp:lastModifiedBy>Andrea Bender</cp:lastModifiedBy>
  <cp:revision>10</cp:revision>
  <cp:lastPrinted>2020-06-23T12:50:00Z</cp:lastPrinted>
  <dcterms:created xsi:type="dcterms:W3CDTF">2021-03-27T11:41:00Z</dcterms:created>
  <dcterms:modified xsi:type="dcterms:W3CDTF">2021-04-11T16:51:00Z</dcterms:modified>
</cp:coreProperties>
</file>