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A773F7" w:rsidRDefault="00E94146" w:rsidP="00763178">
      <w:pPr>
        <w:rPr>
          <w:lang w:val="en-US"/>
        </w:rPr>
      </w:pPr>
      <w:r w:rsidRPr="00A773F7">
        <w:rPr>
          <w:lang w:val="en-US"/>
        </w:rPr>
        <w:t>Accusative Alignment (Nouns)</w:t>
      </w:r>
    </w:p>
    <w:p w:rsidR="00A773F7" w:rsidRDefault="00A773F7" w:rsidP="00784B7A">
      <w:pPr>
        <w:rPr>
          <w:rFonts w:ascii="Times New Roman" w:hAnsi="Times New Roman" w:cs="Times New Roman"/>
          <w:lang w:val="en-GB"/>
        </w:rPr>
      </w:pPr>
      <w:r>
        <w:rPr>
          <w:lang w:val="en-US"/>
        </w:rPr>
        <w:t>In an accusative system of case marking, P, the more patient-like NP argument of a two-place transitive predicate, is encoded differently from S, the core argument of a one-place intransitive predicate. Any occurrence (whether consistently or in a sub-domain of a language) of such (P</w:t>
      </w:r>
      <w:r>
        <w:rPr>
          <w:rFonts w:ascii="Doulos SIL" w:hAnsi="Doulos SIL" w:cs="Doulos SIL"/>
          <w:lang w:val="en-US"/>
        </w:rPr>
        <w:t>≠</w:t>
      </w:r>
      <w:r>
        <w:rPr>
          <w:lang w:val="en-US"/>
        </w:rPr>
        <w:t xml:space="preserve">S contrastive) marking of full noun phrases has been taken as positive evidence of this feature. In </w:t>
      </w:r>
      <w:r w:rsidR="00322289">
        <w:rPr>
          <w:lang w:val="en-US"/>
        </w:rPr>
        <w:t>Uzbek</w:t>
      </w:r>
      <w:r w:rsidR="00A1685F">
        <w:rPr>
          <w:lang w:val="en-US"/>
        </w:rPr>
        <w:t xml:space="preserve"> (see </w:t>
      </w:r>
      <w:r w:rsidR="00A1685F">
        <w:rPr>
          <w:lang w:val="en-US"/>
        </w:rPr>
        <w:fldChar w:fldCharType="begin"/>
      </w:r>
      <w:r w:rsidR="00A1685F">
        <w:rPr>
          <w:lang w:val="en-US"/>
        </w:rPr>
        <w:instrText xml:space="preserve"> REF _Ref531867975 \r \h </w:instrText>
      </w:r>
      <w:r w:rsidR="00A1685F">
        <w:rPr>
          <w:lang w:val="en-US"/>
        </w:rPr>
      </w:r>
      <w:r w:rsidR="00A1685F">
        <w:rPr>
          <w:lang w:val="en-US"/>
        </w:rPr>
        <w:fldChar w:fldCharType="separate"/>
      </w:r>
      <w:r w:rsidR="00A1685F">
        <w:rPr>
          <w:cs/>
          <w:lang w:val="en-US"/>
        </w:rPr>
        <w:t>‎</w:t>
      </w:r>
      <w:r w:rsidR="00A1685F">
        <w:rPr>
          <w:lang w:val="en-US"/>
        </w:rPr>
        <w:t>(1)</w:t>
      </w:r>
      <w:r w:rsidR="00A1685F">
        <w:rPr>
          <w:lang w:val="en-US"/>
        </w:rPr>
        <w:fldChar w:fldCharType="end"/>
      </w:r>
      <w:r w:rsidR="00A1685F">
        <w:rPr>
          <w:lang w:val="en-US"/>
        </w:rPr>
        <w:t>)</w:t>
      </w:r>
      <w:r>
        <w:rPr>
          <w:lang w:val="en-US"/>
        </w:rPr>
        <w:t xml:space="preserve">, the P argument carries a case suffix </w:t>
      </w:r>
      <w:r>
        <w:rPr>
          <w:i/>
          <w:iCs/>
          <w:lang w:val="en-US"/>
        </w:rPr>
        <w:t>–</w:t>
      </w:r>
      <w:r w:rsidR="00322289">
        <w:rPr>
          <w:i/>
          <w:iCs/>
          <w:lang w:val="en-US"/>
        </w:rPr>
        <w:t>de</w:t>
      </w:r>
      <w:r w:rsidR="00322289">
        <w:rPr>
          <w:i/>
          <w:iCs/>
          <w:lang w:val="is-IS" w:bidi="ur-PK"/>
        </w:rPr>
        <w:t>ː</w:t>
      </w:r>
      <w:r>
        <w:rPr>
          <w:lang w:val="en-US"/>
        </w:rPr>
        <w:t>, while the S argument remains zero marked for case.</w:t>
      </w:r>
      <w:r w:rsidR="00322289">
        <w:rPr>
          <w:lang w:val="en-US"/>
        </w:rPr>
        <w:t xml:space="preserve"> (The case marking </w:t>
      </w:r>
      <w:r w:rsidR="00322289" w:rsidRPr="00322289">
        <w:rPr>
          <w:i/>
          <w:iCs/>
          <w:lang w:val="en-US"/>
        </w:rPr>
        <w:noBreakHyphen/>
        <w:t>de</w:t>
      </w:r>
      <w:r w:rsidR="00322289">
        <w:rPr>
          <w:lang w:val="en-US"/>
        </w:rPr>
        <w:t xml:space="preserve"> in addition encodes various </w:t>
      </w:r>
      <w:r w:rsidR="00784B7A">
        <w:rPr>
          <w:lang w:val="en-US"/>
        </w:rPr>
        <w:t>locative</w:t>
      </w:r>
      <w:r w:rsidR="00322289">
        <w:rPr>
          <w:lang w:val="en-US"/>
        </w:rPr>
        <w:t xml:space="preserve"> relations. A direct object with definite reference may also occur with a suffix </w:t>
      </w:r>
      <w:r w:rsidR="00322289" w:rsidRPr="00322289">
        <w:rPr>
          <w:i/>
          <w:iCs/>
          <w:lang w:val="en-US"/>
        </w:rPr>
        <w:t>–</w:t>
      </w:r>
      <w:proofErr w:type="spellStart"/>
      <w:r w:rsidR="00322289" w:rsidRPr="00322289">
        <w:rPr>
          <w:i/>
          <w:iCs/>
          <w:lang w:val="en-US"/>
        </w:rPr>
        <w:t>ni</w:t>
      </w:r>
      <w:proofErr w:type="spellEnd"/>
      <w:r w:rsidR="00322289" w:rsidRPr="00322289">
        <w:rPr>
          <w:i/>
          <w:iCs/>
          <w:lang w:val="en-US"/>
        </w:rPr>
        <w:t>ː</w:t>
      </w:r>
      <w:r w:rsidR="00322289">
        <w:rPr>
          <w:lang w:val="en-US"/>
        </w:rPr>
        <w:t>.)</w:t>
      </w:r>
    </w:p>
    <w:p w:rsidR="00A773F7" w:rsidRPr="00634AA5" w:rsidRDefault="00C31CC5" w:rsidP="00C31CC5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r>
        <w:rPr>
          <w:rFonts w:cs="Times New Roman"/>
        </w:rPr>
        <w:t>Uzbek</w:t>
      </w:r>
      <w:r w:rsidR="00A773F7" w:rsidRPr="00634AA5">
        <w:rPr>
          <w:rFonts w:cs="Times New Roman"/>
        </w:rPr>
        <w:t xml:space="preserve"> [</w:t>
      </w:r>
      <w:proofErr w:type="spellStart"/>
      <w:r>
        <w:rPr>
          <w:rFonts w:cs="Times New Roman"/>
        </w:rPr>
        <w:t>uzs</w:t>
      </w:r>
      <w:proofErr w:type="spellEnd"/>
      <w:r w:rsidR="00A773F7" w:rsidRPr="00634AA5">
        <w:rPr>
          <w:rFonts w:cs="Times New Roman"/>
        </w:rPr>
        <w:t>] (</w:t>
      </w:r>
      <w:proofErr w:type="spellStart"/>
      <w:r>
        <w:rPr>
          <w:rFonts w:cs="Times New Roman"/>
        </w:rPr>
        <w:t>Turkic</w:t>
      </w:r>
      <w:proofErr w:type="spellEnd"/>
      <w:r w:rsidR="00A773F7" w:rsidRPr="00634AA5">
        <w:rPr>
          <w:rFonts w:cs="Times New Roman"/>
        </w:rPr>
        <w:t>)</w:t>
      </w:r>
      <w:bookmarkEnd w:id="0"/>
      <w:r w:rsidR="00A773F7" w:rsidRPr="00634AA5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037"/>
        <w:gridCol w:w="5350"/>
      </w:tblGrid>
      <w:tr w:rsidR="00A773F7" w:rsidRPr="00696479" w:rsidTr="00F33A2F">
        <w:trPr>
          <w:trHeight w:val="227"/>
        </w:trPr>
        <w:tc>
          <w:tcPr>
            <w:tcW w:w="0" w:type="auto"/>
            <w:vAlign w:val="center"/>
          </w:tcPr>
          <w:p w:rsidR="00A773F7" w:rsidRDefault="00A773F7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773F7" w:rsidRPr="00634AA5" w:rsidRDefault="00C31CC5" w:rsidP="00C31CC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C31CC5">
              <w:rPr>
                <w:lang w:val="is-IS" w:bidi="ur-PK"/>
              </w:rPr>
              <w:t xml:space="preserve">iːlɑːn </w:t>
            </w:r>
          </w:p>
        </w:tc>
        <w:tc>
          <w:tcPr>
            <w:tcW w:w="5350" w:type="dxa"/>
            <w:shd w:val="clear" w:color="auto" w:fill="auto"/>
            <w:vAlign w:val="center"/>
          </w:tcPr>
          <w:p w:rsidR="00A773F7" w:rsidRPr="00634AA5" w:rsidRDefault="00C31CC5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>
              <w:rPr>
                <w:lang w:val="is-IS" w:bidi="ur-PK"/>
              </w:rPr>
              <w:t>wiːl-</w:t>
            </w:r>
            <w:r w:rsidRPr="00C31CC5">
              <w:rPr>
                <w:lang w:val="is-IS" w:bidi="ur-PK"/>
              </w:rPr>
              <w:t>deː</w:t>
            </w:r>
          </w:p>
        </w:tc>
      </w:tr>
      <w:tr w:rsidR="00A773F7" w:rsidRPr="00696479" w:rsidTr="00F33A2F">
        <w:trPr>
          <w:trHeight w:val="227"/>
        </w:trPr>
        <w:tc>
          <w:tcPr>
            <w:tcW w:w="0" w:type="auto"/>
            <w:vAlign w:val="center"/>
          </w:tcPr>
          <w:p w:rsidR="00A773F7" w:rsidRDefault="00A773F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A773F7" w:rsidRPr="00696479" w:rsidRDefault="00C31CC5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snake</w:t>
            </w:r>
          </w:p>
        </w:tc>
        <w:tc>
          <w:tcPr>
            <w:tcW w:w="5350" w:type="dxa"/>
            <w:shd w:val="clear" w:color="auto" w:fill="auto"/>
          </w:tcPr>
          <w:p w:rsidR="00A773F7" w:rsidRPr="00696479" w:rsidRDefault="00C31CC5" w:rsidP="00784B7A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die-</w:t>
            </w:r>
            <w:proofErr w:type="spellStart"/>
            <w:r w:rsidRPr="00C31CC5">
              <w:rPr>
                <w:smallCaps/>
                <w:lang w:bidi="ur-PK"/>
              </w:rPr>
              <w:t>pst</w:t>
            </w:r>
            <w:proofErr w:type="spellEnd"/>
          </w:p>
        </w:tc>
      </w:tr>
      <w:tr w:rsidR="00A773F7" w:rsidRPr="00696479" w:rsidTr="00F33A2F">
        <w:trPr>
          <w:trHeight w:val="227"/>
        </w:trPr>
        <w:tc>
          <w:tcPr>
            <w:tcW w:w="0" w:type="auto"/>
            <w:vAlign w:val="center"/>
          </w:tcPr>
          <w:p w:rsidR="00A773F7" w:rsidRDefault="00A773F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A773F7" w:rsidRPr="00F12581" w:rsidRDefault="00A773F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 w:rsidRPr="00F12581">
              <w:rPr>
                <w:b/>
                <w:bCs/>
                <w:lang w:bidi="ur-PK"/>
              </w:rPr>
              <w:t>S</w:t>
            </w:r>
          </w:p>
        </w:tc>
        <w:tc>
          <w:tcPr>
            <w:tcW w:w="5350" w:type="dxa"/>
            <w:shd w:val="clear" w:color="auto" w:fill="auto"/>
          </w:tcPr>
          <w:p w:rsidR="00A773F7" w:rsidRDefault="00A773F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A773F7" w:rsidRPr="00F85E81" w:rsidTr="00F33A2F">
        <w:trPr>
          <w:trHeight w:val="227"/>
        </w:trPr>
        <w:tc>
          <w:tcPr>
            <w:tcW w:w="0" w:type="auto"/>
            <w:vAlign w:val="center"/>
          </w:tcPr>
          <w:p w:rsidR="00A773F7" w:rsidRPr="00696479" w:rsidRDefault="00A773F7" w:rsidP="00F33A2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2"/>
            <w:shd w:val="clear" w:color="auto" w:fill="auto"/>
          </w:tcPr>
          <w:p w:rsidR="00A773F7" w:rsidRPr="00696479" w:rsidRDefault="00A773F7" w:rsidP="00F61D3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452C7D">
              <w:t>The snake died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452C7D">
              <w:t>UZS</w:t>
            </w:r>
            <w:r>
              <w:t>-Val</w:t>
            </w:r>
            <w:r w:rsidR="006E2B85">
              <w:t>-</w:t>
            </w:r>
            <w:r w:rsidR="001F4062">
              <w:t>KB</w:t>
            </w:r>
            <w:r>
              <w:t>:0</w:t>
            </w:r>
            <w:r w:rsidR="000B540D">
              <w:t>61</w:t>
            </w:r>
            <w:r>
              <w:t>)</w:t>
            </w:r>
          </w:p>
        </w:tc>
      </w:tr>
    </w:tbl>
    <w:p w:rsidR="00A773F7" w:rsidRDefault="00A773F7" w:rsidP="00A773F7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2126"/>
        <w:gridCol w:w="823"/>
        <w:gridCol w:w="992"/>
        <w:gridCol w:w="1665"/>
      </w:tblGrid>
      <w:tr w:rsidR="004719A5" w:rsidRPr="009714EF" w:rsidTr="008412A2">
        <w:trPr>
          <w:trHeight w:val="227"/>
        </w:trPr>
        <w:tc>
          <w:tcPr>
            <w:tcW w:w="0" w:type="auto"/>
            <w:vAlign w:val="center"/>
          </w:tcPr>
          <w:p w:rsidR="004719A5" w:rsidRDefault="004719A5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4719A5" w:rsidRPr="00A762CF" w:rsidRDefault="004719A5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9714EF">
              <w:rPr>
                <w:lang w:val="id-ID"/>
              </w:rPr>
              <w:t>uːʁul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719A5" w:rsidRPr="009714EF" w:rsidRDefault="004719A5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9714EF">
              <w:rPr>
                <w:lang w:val="id-ID"/>
              </w:rPr>
              <w:t>iːlɑːn</w:t>
            </w:r>
            <w:r>
              <w:rPr>
                <w:lang w:val="sv-SE"/>
              </w:rPr>
              <w:t>=</w:t>
            </w:r>
            <w:r w:rsidRPr="009714EF">
              <w:rPr>
                <w:lang w:val="id-ID"/>
              </w:rPr>
              <w:t>deː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719A5" w:rsidRPr="006F5B45" w:rsidRDefault="004719A5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s-IS"/>
              </w:rPr>
            </w:pPr>
            <w:r w:rsidRPr="009714EF">
              <w:rPr>
                <w:lang w:val="id-ID"/>
              </w:rPr>
              <w:t>jaʁɑːt</w:t>
            </w:r>
            <w:r>
              <w:rPr>
                <w:lang w:val="is-IS"/>
              </w:rPr>
              <w:t>ɕ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719A5" w:rsidRPr="009714EF" w:rsidRDefault="004719A5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9714EF">
              <w:rPr>
                <w:lang w:val="id-ID"/>
              </w:rPr>
              <w:t xml:space="preserve">minan 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4719A5" w:rsidRPr="009714EF" w:rsidRDefault="004719A5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  <w:r>
              <w:rPr>
                <w:lang w:val="id-ID"/>
              </w:rPr>
              <w:t>uːr</w:t>
            </w:r>
            <w:r>
              <w:rPr>
                <w:lang w:val="sv-SE"/>
              </w:rPr>
              <w:t>-</w:t>
            </w:r>
            <w:r w:rsidRPr="009714EF">
              <w:rPr>
                <w:lang w:val="id-ID"/>
              </w:rPr>
              <w:t>deː</w:t>
            </w:r>
          </w:p>
        </w:tc>
      </w:tr>
      <w:tr w:rsidR="004719A5" w:rsidRPr="00F34C4D" w:rsidTr="008412A2">
        <w:trPr>
          <w:trHeight w:val="227"/>
        </w:trPr>
        <w:tc>
          <w:tcPr>
            <w:tcW w:w="0" w:type="auto"/>
            <w:vAlign w:val="center"/>
          </w:tcPr>
          <w:p w:rsidR="004719A5" w:rsidRPr="009714EF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4719A5" w:rsidRPr="00F34C4D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F34C4D">
              <w:rPr>
                <w:lang w:val="sv-SE" w:bidi="ur-PK"/>
              </w:rPr>
              <w:t>boy</w:t>
            </w:r>
          </w:p>
        </w:tc>
        <w:tc>
          <w:tcPr>
            <w:tcW w:w="2126" w:type="dxa"/>
            <w:shd w:val="clear" w:color="auto" w:fill="auto"/>
          </w:tcPr>
          <w:p w:rsidR="004719A5" w:rsidRPr="00F34C4D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snake</w:t>
            </w:r>
            <w:proofErr w:type="spellEnd"/>
            <w:r>
              <w:rPr>
                <w:lang w:val="sv-SE" w:bidi="ur-PK"/>
              </w:rPr>
              <w:t>=</w:t>
            </w:r>
            <w:proofErr w:type="spellStart"/>
            <w:r w:rsidRPr="00784B7A">
              <w:rPr>
                <w:smallCaps/>
                <w:lang w:val="sv-SE" w:bidi="ur-PK"/>
              </w:rPr>
              <w:t>loc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4719A5" w:rsidRPr="00F34C4D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stick</w:t>
            </w:r>
          </w:p>
        </w:tc>
        <w:tc>
          <w:tcPr>
            <w:tcW w:w="992" w:type="dxa"/>
            <w:shd w:val="clear" w:color="auto" w:fill="auto"/>
          </w:tcPr>
          <w:p w:rsidR="004719A5" w:rsidRPr="00F34C4D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with</w:t>
            </w:r>
            <w:proofErr w:type="spellEnd"/>
          </w:p>
        </w:tc>
        <w:tc>
          <w:tcPr>
            <w:tcW w:w="1665" w:type="dxa"/>
            <w:shd w:val="clear" w:color="auto" w:fill="auto"/>
          </w:tcPr>
          <w:p w:rsidR="004719A5" w:rsidRPr="00F34C4D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hit-</w:t>
            </w:r>
            <w:r w:rsidRPr="00F34C4D">
              <w:rPr>
                <w:smallCaps/>
                <w:lang w:val="sv-SE" w:bidi="ur-PK"/>
              </w:rPr>
              <w:t>pst</w:t>
            </w:r>
          </w:p>
        </w:tc>
      </w:tr>
      <w:tr w:rsidR="004719A5" w:rsidTr="008412A2">
        <w:trPr>
          <w:trHeight w:val="227"/>
        </w:trPr>
        <w:tc>
          <w:tcPr>
            <w:tcW w:w="0" w:type="auto"/>
            <w:vAlign w:val="center"/>
          </w:tcPr>
          <w:p w:rsidR="004719A5" w:rsidRPr="009714EF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4719A5" w:rsidRPr="00C31CC5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C31CC5">
              <w:rPr>
                <w:lang w:bidi="ur-PK"/>
              </w:rPr>
              <w:t>A</w:t>
            </w:r>
          </w:p>
        </w:tc>
        <w:tc>
          <w:tcPr>
            <w:tcW w:w="2126" w:type="dxa"/>
            <w:shd w:val="clear" w:color="auto" w:fill="auto"/>
          </w:tcPr>
          <w:p w:rsidR="004719A5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C31CC5">
              <w:rPr>
                <w:b/>
                <w:bCs/>
                <w:lang w:bidi="ur-PK"/>
              </w:rPr>
              <w:t>P</w:t>
            </w:r>
          </w:p>
        </w:tc>
        <w:tc>
          <w:tcPr>
            <w:tcW w:w="567" w:type="dxa"/>
            <w:shd w:val="clear" w:color="auto" w:fill="auto"/>
          </w:tcPr>
          <w:p w:rsidR="004719A5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92" w:type="dxa"/>
            <w:shd w:val="clear" w:color="auto" w:fill="auto"/>
          </w:tcPr>
          <w:p w:rsidR="004719A5" w:rsidRPr="00C31CC5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</w:p>
        </w:tc>
        <w:tc>
          <w:tcPr>
            <w:tcW w:w="1665" w:type="dxa"/>
            <w:shd w:val="clear" w:color="auto" w:fill="auto"/>
          </w:tcPr>
          <w:p w:rsidR="004719A5" w:rsidRDefault="004719A5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4719A5" w:rsidRPr="00696479" w:rsidTr="008412A2">
        <w:trPr>
          <w:trHeight w:val="227"/>
        </w:trPr>
        <w:tc>
          <w:tcPr>
            <w:tcW w:w="0" w:type="auto"/>
            <w:vAlign w:val="center"/>
          </w:tcPr>
          <w:p w:rsidR="004719A5" w:rsidRPr="00696479" w:rsidRDefault="004719A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5"/>
            <w:shd w:val="clear" w:color="auto" w:fill="auto"/>
          </w:tcPr>
          <w:p w:rsidR="004719A5" w:rsidRPr="00696479" w:rsidRDefault="004719A5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The boy hit the snake with a stick.</w:t>
            </w:r>
            <w:r w:rsidRPr="00696479">
              <w:t>’</w:t>
            </w:r>
            <w:r>
              <w:t xml:space="preserve"> (UZS-Val</w:t>
            </w:r>
            <w:r w:rsidR="006E2B85">
              <w:t>-</w:t>
            </w:r>
            <w:bookmarkStart w:id="1" w:name="_GoBack"/>
            <w:bookmarkEnd w:id="1"/>
            <w:r w:rsidR="001F4062">
              <w:t>KB</w:t>
            </w:r>
            <w:r>
              <w:t>:028)</w:t>
            </w:r>
          </w:p>
        </w:tc>
      </w:tr>
    </w:tbl>
    <w:p w:rsidR="004719A5" w:rsidRDefault="004719A5" w:rsidP="00A773F7">
      <w:pPr>
        <w:rPr>
          <w:rFonts w:ascii="Times New Roman" w:hAnsi="Times New Roman" w:cs="Times New Roman"/>
          <w:lang w:val="en-US"/>
        </w:rPr>
      </w:pPr>
    </w:p>
    <w:p w:rsidR="00A773F7" w:rsidRPr="009E59F5" w:rsidRDefault="00A773F7" w:rsidP="00EA23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EA232D">
        <w:rPr>
          <w:rFonts w:ascii="Times New Roman" w:hAnsi="Times New Roman" w:cs="Times New Roman"/>
          <w:lang w:val="en-US"/>
        </w:rPr>
        <w:t xml:space="preserve">ccusative alignment is clearly </w:t>
      </w:r>
      <w:proofErr w:type="spellStart"/>
      <w:r w:rsidR="00EA232D">
        <w:rPr>
          <w:rFonts w:ascii="Times New Roman" w:hAnsi="Times New Roman" w:cs="Times New Roman"/>
          <w:lang w:val="en-US"/>
        </w:rPr>
        <w:t>subareal</w:t>
      </w:r>
      <w:proofErr w:type="spellEnd"/>
      <w:r w:rsidR="00EA232D">
        <w:rPr>
          <w:rFonts w:ascii="Times New Roman" w:hAnsi="Times New Roman" w:cs="Times New Roman"/>
          <w:lang w:val="en-US"/>
        </w:rPr>
        <w:t xml:space="preserve"> in its distribution. While it is not a feature associated with the geographical core of the Hindu Kush, it is strongly represented in the northwestern sub-region (in Indo-Aryan, Nuristani, Iranian and Turkic), and then again in the southeastern sub-region (Indo-Aryan and Tibeto-Burman)</w:t>
      </w:r>
      <w:r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773F7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773F7" w:rsidRPr="008E3982" w:rsidRDefault="00A773F7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773F7" w:rsidRPr="008E3982" w:rsidRDefault="00A773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773F7" w:rsidRPr="008E3982" w:rsidRDefault="00A773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A773F7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73F7" w:rsidRPr="008E3982" w:rsidRDefault="00A773F7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73F7" w:rsidRPr="008E3982" w:rsidRDefault="00EA232D" w:rsidP="00EA232D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73F7" w:rsidRPr="008E3982" w:rsidRDefault="00EA232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41</w:t>
            </w:r>
          </w:p>
        </w:tc>
      </w:tr>
      <w:tr w:rsidR="00A773F7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773F7" w:rsidRPr="008E3982" w:rsidRDefault="00A773F7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773F7" w:rsidRPr="008E3982" w:rsidRDefault="00EA232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A773F7" w:rsidRPr="00294D6F" w:rsidRDefault="00EA232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59</w:t>
            </w:r>
          </w:p>
        </w:tc>
      </w:tr>
      <w:tr w:rsidR="00A773F7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73F7" w:rsidRPr="008E3982" w:rsidRDefault="00A773F7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73F7" w:rsidRPr="008E3982" w:rsidRDefault="00A773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73F7" w:rsidRPr="008E3982" w:rsidRDefault="00A773F7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A773F7" w:rsidRPr="00EF75C2" w:rsidRDefault="00A773F7" w:rsidP="00A773F7">
      <w:pPr>
        <w:rPr>
          <w:lang w:val="en-US"/>
        </w:rPr>
      </w:pPr>
    </w:p>
    <w:p w:rsidR="00E94146" w:rsidRPr="00763178" w:rsidRDefault="00E94146" w:rsidP="00763178"/>
    <w:sectPr w:rsidR="00E94146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B6F" w:rsidRDefault="00B65B6F" w:rsidP="00183404">
      <w:pPr>
        <w:spacing w:after="0" w:line="240" w:lineRule="auto"/>
      </w:pPr>
      <w:r>
        <w:separator/>
      </w:r>
    </w:p>
  </w:endnote>
  <w:endnote w:type="continuationSeparator" w:id="0">
    <w:p w:rsidR="00B65B6F" w:rsidRDefault="00B65B6F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B6F" w:rsidRDefault="00B65B6F" w:rsidP="00183404">
      <w:pPr>
        <w:spacing w:after="0" w:line="240" w:lineRule="auto"/>
      </w:pPr>
      <w:r>
        <w:separator/>
      </w:r>
    </w:p>
  </w:footnote>
  <w:footnote w:type="continuationSeparator" w:id="0">
    <w:p w:rsidR="00B65B6F" w:rsidRDefault="00B65B6F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B18"/>
    <w:rsid w:val="00030811"/>
    <w:rsid w:val="000B540D"/>
    <w:rsid w:val="00143428"/>
    <w:rsid w:val="00183404"/>
    <w:rsid w:val="001A21D5"/>
    <w:rsid w:val="001A72EB"/>
    <w:rsid w:val="001F4062"/>
    <w:rsid w:val="002F5E57"/>
    <w:rsid w:val="00317D35"/>
    <w:rsid w:val="00322289"/>
    <w:rsid w:val="0032599D"/>
    <w:rsid w:val="003334D7"/>
    <w:rsid w:val="003D4D6A"/>
    <w:rsid w:val="0041258A"/>
    <w:rsid w:val="00451BA8"/>
    <w:rsid w:val="00452C7D"/>
    <w:rsid w:val="00460E12"/>
    <w:rsid w:val="004719A5"/>
    <w:rsid w:val="004C26F1"/>
    <w:rsid w:val="004C71A8"/>
    <w:rsid w:val="005129D3"/>
    <w:rsid w:val="00516BD0"/>
    <w:rsid w:val="00546568"/>
    <w:rsid w:val="005772FF"/>
    <w:rsid w:val="005A1B34"/>
    <w:rsid w:val="00625E49"/>
    <w:rsid w:val="006876FA"/>
    <w:rsid w:val="006E2B85"/>
    <w:rsid w:val="006F5B45"/>
    <w:rsid w:val="00745125"/>
    <w:rsid w:val="00763178"/>
    <w:rsid w:val="00784B7A"/>
    <w:rsid w:val="00812EE5"/>
    <w:rsid w:val="008477C8"/>
    <w:rsid w:val="008B2BBD"/>
    <w:rsid w:val="00913BB5"/>
    <w:rsid w:val="0093081C"/>
    <w:rsid w:val="009445D5"/>
    <w:rsid w:val="009714EF"/>
    <w:rsid w:val="009E408A"/>
    <w:rsid w:val="00A141ED"/>
    <w:rsid w:val="00A1685F"/>
    <w:rsid w:val="00A735C0"/>
    <w:rsid w:val="00A756A3"/>
    <w:rsid w:val="00A773F7"/>
    <w:rsid w:val="00AF3B18"/>
    <w:rsid w:val="00B65B6F"/>
    <w:rsid w:val="00BB37FB"/>
    <w:rsid w:val="00BC5FC0"/>
    <w:rsid w:val="00C10E40"/>
    <w:rsid w:val="00C31CC5"/>
    <w:rsid w:val="00CB6AB4"/>
    <w:rsid w:val="00CD0CD1"/>
    <w:rsid w:val="00CD4B38"/>
    <w:rsid w:val="00CF3875"/>
    <w:rsid w:val="00D8171F"/>
    <w:rsid w:val="00E31FB2"/>
    <w:rsid w:val="00E36E68"/>
    <w:rsid w:val="00E421BC"/>
    <w:rsid w:val="00E94146"/>
    <w:rsid w:val="00EA232D"/>
    <w:rsid w:val="00EF4EF2"/>
    <w:rsid w:val="00F0035E"/>
    <w:rsid w:val="00F024EF"/>
    <w:rsid w:val="00F0715D"/>
    <w:rsid w:val="00F309F7"/>
    <w:rsid w:val="00F34C4D"/>
    <w:rsid w:val="00F61D32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48534"/>
  <w15:chartTrackingRefBased/>
  <w15:docId w15:val="{42882258-5A6F-4672-B3B7-64935A80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A773F7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A773F7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773F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A773F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A773F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A773F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A773F7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FAA88-B90B-4605-9304-9D2F78731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205</Words>
  <Characters>1169</Characters>
  <Application>Microsoft Office Word</Application>
  <DocSecurity>0</DocSecurity>
  <Lines>9</Lines>
  <Paragraphs>2</Paragraphs>
  <ScaleCrop>false</ScaleCrop>
  <Company>Microsoft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22</cp:revision>
  <dcterms:created xsi:type="dcterms:W3CDTF">2019-06-26T12:07:00Z</dcterms:created>
  <dcterms:modified xsi:type="dcterms:W3CDTF">2021-02-10T08:17:00Z</dcterms:modified>
</cp:coreProperties>
</file>