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30F83" w14:textId="703B6D0F" w:rsidR="00CD4B38" w:rsidRDefault="00F671E3" w:rsidP="00763178">
      <w:proofErr w:type="spellStart"/>
      <w:r>
        <w:t>Prepositional</w:t>
      </w:r>
      <w:proofErr w:type="spellEnd"/>
      <w:r>
        <w:t xml:space="preserve"> </w:t>
      </w:r>
      <w:proofErr w:type="spellStart"/>
      <w:r>
        <w:t>Coding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Location</w:t>
      </w:r>
      <w:proofErr w:type="spellEnd"/>
    </w:p>
    <w:p w14:paraId="0B943DF8" w14:textId="765458DF" w:rsidR="00B874EE" w:rsidRPr="00B950AB" w:rsidRDefault="00B874EE" w:rsidP="00B874EE">
      <w:pPr>
        <w:rPr>
          <w:lang w:val="en-US"/>
        </w:rPr>
      </w:pPr>
      <w:r w:rsidRPr="00B950AB">
        <w:rPr>
          <w:lang w:val="en-US"/>
        </w:rPr>
        <w:t xml:space="preserve">The strategy for marking a noun phrase as </w:t>
      </w:r>
      <w:r>
        <w:rPr>
          <w:lang w:val="en-US"/>
        </w:rPr>
        <w:t xml:space="preserve">a location was investigated. </w:t>
      </w:r>
      <w:bookmarkStart w:id="0" w:name="_Hlk51060338"/>
      <w:r>
        <w:rPr>
          <w:lang w:val="en-US"/>
        </w:rPr>
        <w:t xml:space="preserve">The positive value of this feature reflects the presence of a marker preceding the noun phrase, whether </w:t>
      </w:r>
      <w:proofErr w:type="spellStart"/>
      <w:r>
        <w:rPr>
          <w:lang w:val="en-US"/>
        </w:rPr>
        <w:t>clitical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adpositional</w:t>
      </w:r>
      <w:proofErr w:type="spellEnd"/>
      <w:r>
        <w:rPr>
          <w:lang w:val="en-US"/>
        </w:rPr>
        <w:t xml:space="preserve">. </w:t>
      </w:r>
      <w:bookmarkEnd w:id="0"/>
      <w:r>
        <w:rPr>
          <w:lang w:val="en-US"/>
        </w:rPr>
        <w:t xml:space="preserve">In </w:t>
      </w:r>
      <w:r w:rsidR="00BE3A0E">
        <w:rPr>
          <w:lang w:val="en-US"/>
        </w:rPr>
        <w:t>Iranian Pashto of Pakistan</w:t>
      </w:r>
      <w:r>
        <w:rPr>
          <w:lang w:val="en-US"/>
        </w:rPr>
        <w:t xml:space="preserve">, this semantic role is coded by a preposition, as shown 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_Ref12281344 \r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  <w:t>(1)</w:t>
      </w:r>
      <w:r>
        <w:rPr>
          <w:lang w:val="en-US"/>
        </w:rPr>
        <w:fldChar w:fldCharType="end"/>
      </w:r>
      <w:r>
        <w:rPr>
          <w:lang w:val="en-US"/>
        </w:rPr>
        <w:t xml:space="preserve">. </w:t>
      </w:r>
      <w:r w:rsidR="00BE3A0E">
        <w:rPr>
          <w:lang w:val="en-US"/>
        </w:rPr>
        <w:t>For a location at</w:t>
      </w:r>
      <w:r w:rsidR="004E483C">
        <w:rPr>
          <w:lang w:val="en-US"/>
        </w:rPr>
        <w:t>, or nea</w:t>
      </w:r>
      <w:r w:rsidR="00003259">
        <w:rPr>
          <w:lang w:val="en-US"/>
        </w:rPr>
        <w:t>r</w:t>
      </w:r>
      <w:r w:rsidR="004E483C">
        <w:rPr>
          <w:lang w:val="en-US"/>
        </w:rPr>
        <w:t>,</w:t>
      </w:r>
      <w:r w:rsidR="00BE3A0E">
        <w:rPr>
          <w:lang w:val="en-US"/>
        </w:rPr>
        <w:t xml:space="preserve"> </w:t>
      </w:r>
      <w:r w:rsidR="004E483C">
        <w:rPr>
          <w:lang w:val="en-US"/>
        </w:rPr>
        <w:t>a</w:t>
      </w:r>
      <w:r w:rsidR="00BE3A0E">
        <w:rPr>
          <w:lang w:val="en-US"/>
        </w:rPr>
        <w:t xml:space="preserve"> surface, as in (1a), the preposition </w:t>
      </w:r>
      <w:r w:rsidR="00BE3A0E" w:rsidRPr="00BE3A0E">
        <w:rPr>
          <w:i/>
          <w:lang w:val="id-ID"/>
        </w:rPr>
        <w:t>p</w:t>
      </w:r>
      <w:r w:rsidR="00BE3A0E" w:rsidRPr="00BE3A0E">
        <w:rPr>
          <w:i/>
          <w:lang w:val="is-IS"/>
        </w:rPr>
        <w:t>ə</w:t>
      </w:r>
      <w:r w:rsidR="00BE3A0E">
        <w:rPr>
          <w:lang w:val="is-IS"/>
        </w:rPr>
        <w:t xml:space="preserve"> </w:t>
      </w:r>
      <w:r w:rsidR="00BE3A0E">
        <w:rPr>
          <w:lang w:val="en-US"/>
        </w:rPr>
        <w:t>is sufficient, while for the location inside something, as in (1b),</w:t>
      </w:r>
      <w:r w:rsidR="00003259">
        <w:rPr>
          <w:lang w:val="en-US"/>
        </w:rPr>
        <w:t xml:space="preserve"> </w:t>
      </w:r>
      <w:r w:rsidR="00BE3A0E">
        <w:rPr>
          <w:lang w:val="en-US"/>
        </w:rPr>
        <w:t xml:space="preserve">a combination of the preposition </w:t>
      </w:r>
      <w:r w:rsidR="00BE3A0E" w:rsidRPr="00BE3A0E">
        <w:rPr>
          <w:i/>
          <w:lang w:val="id-ID"/>
        </w:rPr>
        <w:t>p</w:t>
      </w:r>
      <w:r w:rsidR="00BE3A0E" w:rsidRPr="00BE3A0E">
        <w:rPr>
          <w:i/>
          <w:lang w:val="is-IS"/>
        </w:rPr>
        <w:t>ə</w:t>
      </w:r>
      <w:r w:rsidR="00BE3A0E">
        <w:rPr>
          <w:lang w:val="is-IS"/>
        </w:rPr>
        <w:t xml:space="preserve"> </w:t>
      </w:r>
      <w:r w:rsidR="00BE3A0E">
        <w:rPr>
          <w:lang w:val="en-US"/>
        </w:rPr>
        <w:t xml:space="preserve">and a postposition </w:t>
      </w:r>
      <w:proofErr w:type="spellStart"/>
      <w:r w:rsidR="00BE3A0E" w:rsidRPr="00BE3A0E">
        <w:rPr>
          <w:i/>
          <w:lang w:val="en-US"/>
        </w:rPr>
        <w:t>ki</w:t>
      </w:r>
      <w:proofErr w:type="spellEnd"/>
      <w:r w:rsidR="004E483C">
        <w:rPr>
          <w:i/>
          <w:lang w:val="en-US"/>
        </w:rPr>
        <w:t>ː</w:t>
      </w:r>
      <w:r w:rsidR="00BE3A0E">
        <w:rPr>
          <w:lang w:val="en-US"/>
        </w:rPr>
        <w:t xml:space="preserve"> is used. </w:t>
      </w:r>
      <w:r w:rsidRPr="00B950AB">
        <w:rPr>
          <w:lang w:val="en-US"/>
        </w:rPr>
        <w:t xml:space="preserve">  </w:t>
      </w:r>
    </w:p>
    <w:p w14:paraId="511A14E1" w14:textId="0727510A" w:rsidR="00B874EE" w:rsidRPr="00BD78FE" w:rsidRDefault="004E483C" w:rsidP="00B874EE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</w:rPr>
      </w:pPr>
      <w:bookmarkStart w:id="1" w:name="_Ref12281344"/>
      <w:r w:rsidRPr="004E483C">
        <w:rPr>
          <w:rFonts w:cs="Times New Roman"/>
        </w:rPr>
        <w:t>Pashto, Pakistan</w:t>
      </w:r>
      <w:r w:rsidR="00B874EE" w:rsidRPr="004E483C">
        <w:rPr>
          <w:rFonts w:cs="Times New Roman"/>
        </w:rPr>
        <w:t xml:space="preserve"> </w:t>
      </w:r>
      <w:r w:rsidR="00B874EE" w:rsidRPr="00BD78FE">
        <w:rPr>
          <w:rFonts w:cs="Times New Roman"/>
        </w:rPr>
        <w:t>[</w:t>
      </w:r>
      <w:proofErr w:type="spellStart"/>
      <w:r>
        <w:rPr>
          <w:rFonts w:cs="Times New Roman"/>
        </w:rPr>
        <w:t>pbu</w:t>
      </w:r>
      <w:proofErr w:type="spellEnd"/>
      <w:r>
        <w:rPr>
          <w:rFonts w:cs="Times New Roman"/>
        </w:rPr>
        <w:t>(p)</w:t>
      </w:r>
      <w:r w:rsidR="00B874EE" w:rsidRPr="00BD78FE">
        <w:rPr>
          <w:rFonts w:cs="Times New Roman"/>
        </w:rPr>
        <w:t>] (</w:t>
      </w:r>
      <w:proofErr w:type="spellStart"/>
      <w:r>
        <w:rPr>
          <w:rFonts w:cs="Times New Roman"/>
        </w:rPr>
        <w:t>Iranian</w:t>
      </w:r>
      <w:proofErr w:type="spellEnd"/>
      <w:r w:rsidR="00B874EE" w:rsidRPr="00BD78FE">
        <w:rPr>
          <w:rFonts w:cs="Times New Roman"/>
        </w:rPr>
        <w:t>)</w:t>
      </w:r>
      <w:bookmarkEnd w:id="1"/>
      <w:r w:rsidR="00B874EE" w:rsidRPr="00BD78FE">
        <w:rPr>
          <w:rFonts w:cs="Times New Roman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69"/>
        <w:gridCol w:w="1419"/>
        <w:gridCol w:w="630"/>
        <w:gridCol w:w="990"/>
        <w:gridCol w:w="900"/>
        <w:gridCol w:w="1916"/>
        <w:gridCol w:w="1749"/>
      </w:tblGrid>
      <w:tr w:rsidR="00B2189F" w:rsidRPr="004E483C" w14:paraId="0F9E2A0A" w14:textId="77777777" w:rsidTr="00B2189F">
        <w:trPr>
          <w:trHeight w:val="227"/>
        </w:trPr>
        <w:tc>
          <w:tcPr>
            <w:tcW w:w="0" w:type="auto"/>
            <w:vAlign w:val="center"/>
          </w:tcPr>
          <w:p w14:paraId="709FE802" w14:textId="77777777" w:rsidR="00B874EE" w:rsidRDefault="00B874EE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419" w:type="dxa"/>
            <w:shd w:val="clear" w:color="auto" w:fill="auto"/>
            <w:vAlign w:val="center"/>
          </w:tcPr>
          <w:p w14:paraId="419480A0" w14:textId="415B3D13" w:rsidR="00B874EE" w:rsidRPr="004E483C" w:rsidRDefault="004E483C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4E483C">
              <w:t>maːʃuːm</w:t>
            </w:r>
            <w:r w:rsidR="00B2189F">
              <w:t>-</w:t>
            </w:r>
            <w:r w:rsidRPr="004E483C">
              <w:t>aːn</w:t>
            </w:r>
            <w:proofErr w:type="spellEnd"/>
          </w:p>
        </w:tc>
        <w:tc>
          <w:tcPr>
            <w:tcW w:w="630" w:type="dxa"/>
            <w:shd w:val="clear" w:color="auto" w:fill="auto"/>
            <w:vAlign w:val="center"/>
          </w:tcPr>
          <w:p w14:paraId="7917432D" w14:textId="72452337" w:rsidR="00B874EE" w:rsidRPr="00B2189F" w:rsidRDefault="004E483C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</w:rPr>
            </w:pPr>
            <w:proofErr w:type="spellStart"/>
            <w:r w:rsidRPr="00B2189F">
              <w:rPr>
                <w:b/>
              </w:rPr>
              <w:t>pə</w:t>
            </w:r>
            <w:proofErr w:type="spellEnd"/>
            <w:r w:rsidRPr="00B2189F">
              <w:rPr>
                <w:b/>
              </w:rPr>
              <w:t xml:space="preserve"> 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C791960" w14:textId="1CE258F4" w:rsidR="00B874EE" w:rsidRPr="004E483C" w:rsidRDefault="004E483C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4E483C">
              <w:t>beːntʃ</w:t>
            </w:r>
            <w:proofErr w:type="spellEnd"/>
            <w:r w:rsidRPr="004E483C">
              <w:t xml:space="preserve"> 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1CCF2D74" w14:textId="57910281" w:rsidR="00B874EE" w:rsidRPr="004E483C" w:rsidRDefault="004E483C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</w:rPr>
            </w:pPr>
            <w:proofErr w:type="spellStart"/>
            <w:r w:rsidRPr="004E483C">
              <w:t>naːst</w:t>
            </w:r>
            <w:proofErr w:type="spellEnd"/>
            <w:r w:rsidRPr="004E483C">
              <w:t xml:space="preserve"> </w:t>
            </w:r>
          </w:p>
        </w:tc>
        <w:tc>
          <w:tcPr>
            <w:tcW w:w="1916" w:type="dxa"/>
            <w:shd w:val="clear" w:color="auto" w:fill="auto"/>
            <w:vAlign w:val="center"/>
          </w:tcPr>
          <w:p w14:paraId="530F69BF" w14:textId="0BCCFE60" w:rsidR="00B874EE" w:rsidRPr="004E483C" w:rsidRDefault="004E483C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r w:rsidRPr="004E483C">
              <w:t>diː</w:t>
            </w:r>
            <w:r>
              <w:t>.</w:t>
            </w:r>
          </w:p>
        </w:tc>
        <w:tc>
          <w:tcPr>
            <w:tcW w:w="1749" w:type="dxa"/>
            <w:shd w:val="clear" w:color="auto" w:fill="auto"/>
            <w:vAlign w:val="center"/>
          </w:tcPr>
          <w:p w14:paraId="11589D7B" w14:textId="4CDDCBB5" w:rsidR="00B874EE" w:rsidRPr="004E483C" w:rsidRDefault="00B874EE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</w:p>
        </w:tc>
      </w:tr>
      <w:tr w:rsidR="00B2189F" w:rsidRPr="004E483C" w14:paraId="7E31E68B" w14:textId="77777777" w:rsidTr="00B2189F">
        <w:trPr>
          <w:trHeight w:val="227"/>
        </w:trPr>
        <w:tc>
          <w:tcPr>
            <w:tcW w:w="0" w:type="auto"/>
            <w:vAlign w:val="center"/>
          </w:tcPr>
          <w:p w14:paraId="41BF7782" w14:textId="77777777" w:rsidR="00B874EE" w:rsidRPr="004E483C" w:rsidRDefault="00B874EE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419" w:type="dxa"/>
            <w:shd w:val="clear" w:color="auto" w:fill="auto"/>
          </w:tcPr>
          <w:p w14:paraId="695880B4" w14:textId="47BE3F7F" w:rsidR="00B874EE" w:rsidRPr="00B2189F" w:rsidRDefault="00B2189F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child-</w:t>
            </w:r>
            <w:r w:rsidRPr="00B2189F">
              <w:rPr>
                <w:smallCaps/>
                <w:lang w:val="en-US" w:bidi="ur-PK"/>
              </w:rPr>
              <w:t>pl</w:t>
            </w:r>
          </w:p>
        </w:tc>
        <w:tc>
          <w:tcPr>
            <w:tcW w:w="630" w:type="dxa"/>
            <w:shd w:val="clear" w:color="auto" w:fill="auto"/>
          </w:tcPr>
          <w:p w14:paraId="034E685D" w14:textId="1B40A758" w:rsidR="00B874EE" w:rsidRPr="004E483C" w:rsidRDefault="00B2189F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val="sv-SE" w:bidi="ur-PK"/>
              </w:rPr>
              <w:t>[</w:t>
            </w:r>
            <w:r>
              <w:rPr>
                <w:lang w:bidi="ur-PK"/>
              </w:rPr>
              <w:t>at</w:t>
            </w:r>
          </w:p>
        </w:tc>
        <w:tc>
          <w:tcPr>
            <w:tcW w:w="990" w:type="dxa"/>
            <w:shd w:val="clear" w:color="auto" w:fill="auto"/>
          </w:tcPr>
          <w:p w14:paraId="72066BA2" w14:textId="344D3D50" w:rsidR="00B874EE" w:rsidRPr="004E483C" w:rsidRDefault="00B2189F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bench]</w:t>
            </w:r>
          </w:p>
        </w:tc>
        <w:tc>
          <w:tcPr>
            <w:tcW w:w="900" w:type="dxa"/>
            <w:shd w:val="clear" w:color="auto" w:fill="auto"/>
          </w:tcPr>
          <w:p w14:paraId="7B5C1A5D" w14:textId="24EF07E8" w:rsidR="00B874EE" w:rsidRPr="004E483C" w:rsidRDefault="00B2189F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seated</w:t>
            </w:r>
          </w:p>
        </w:tc>
        <w:tc>
          <w:tcPr>
            <w:tcW w:w="1916" w:type="dxa"/>
            <w:shd w:val="clear" w:color="auto" w:fill="auto"/>
          </w:tcPr>
          <w:p w14:paraId="176C63F0" w14:textId="179FFEBD" w:rsidR="00B874EE" w:rsidRPr="004E483C" w:rsidRDefault="00B2189F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be.</w:t>
            </w:r>
            <w:r w:rsidRPr="00B2189F">
              <w:rPr>
                <w:smallCaps/>
                <w:lang w:bidi="ur-PK"/>
              </w:rPr>
              <w:t>prs.3pl</w:t>
            </w:r>
          </w:p>
        </w:tc>
        <w:tc>
          <w:tcPr>
            <w:tcW w:w="1749" w:type="dxa"/>
            <w:shd w:val="clear" w:color="auto" w:fill="auto"/>
          </w:tcPr>
          <w:p w14:paraId="3442B54C" w14:textId="0E12FB43" w:rsidR="00B874EE" w:rsidRPr="004E483C" w:rsidRDefault="00B874EE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</w:tr>
      <w:tr w:rsidR="00B874EE" w:rsidRPr="0027344B" w14:paraId="5CA4FB08" w14:textId="77777777" w:rsidTr="00B2189F">
        <w:trPr>
          <w:trHeight w:val="227"/>
        </w:trPr>
        <w:tc>
          <w:tcPr>
            <w:tcW w:w="0" w:type="auto"/>
            <w:vAlign w:val="center"/>
          </w:tcPr>
          <w:p w14:paraId="5B665CB4" w14:textId="77777777" w:rsidR="00B874EE" w:rsidRPr="004E483C" w:rsidRDefault="00B874EE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7604" w:type="dxa"/>
            <w:gridSpan w:val="6"/>
            <w:shd w:val="clear" w:color="auto" w:fill="auto"/>
          </w:tcPr>
          <w:p w14:paraId="00FF4920" w14:textId="02F113FE" w:rsidR="00B874EE" w:rsidRPr="00AF46C3" w:rsidRDefault="00B874EE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  <w:rPr>
                <w:lang w:val="en-US" w:bidi="ur-PK"/>
              </w:rPr>
            </w:pPr>
            <w:r w:rsidRPr="00AF46C3">
              <w:rPr>
                <w:lang w:val="en-US" w:bidi="ur-PK"/>
              </w:rPr>
              <w:t>‘</w:t>
            </w:r>
            <w:r w:rsidR="004E483C">
              <w:rPr>
                <w:lang w:val="en-US" w:bidi="ur-PK"/>
              </w:rPr>
              <w:t>The children s</w:t>
            </w:r>
            <w:r w:rsidR="006A61B0">
              <w:rPr>
                <w:lang w:val="en-US" w:bidi="ur-PK"/>
              </w:rPr>
              <w:t>it</w:t>
            </w:r>
            <w:r w:rsidR="004E483C">
              <w:rPr>
                <w:lang w:val="en-US" w:bidi="ur-PK"/>
              </w:rPr>
              <w:t xml:space="preserve"> on the bench</w:t>
            </w:r>
            <w:r w:rsidRPr="00AF46C3">
              <w:rPr>
                <w:lang w:val="en-US" w:bidi="ur-PK"/>
              </w:rPr>
              <w:t>.</w:t>
            </w:r>
            <w:r>
              <w:rPr>
                <w:lang w:val="en-US" w:bidi="ur-PK"/>
              </w:rPr>
              <w:t xml:space="preserve">’ </w:t>
            </w:r>
            <w:r w:rsidRPr="00AF46C3">
              <w:rPr>
                <w:lang w:val="en-US" w:bidi="ur-PK"/>
              </w:rPr>
              <w:t>(</w:t>
            </w:r>
            <w:r w:rsidR="004E483C">
              <w:rPr>
                <w:lang w:val="en-US" w:bidi="ur-PK"/>
              </w:rPr>
              <w:t>PBU</w:t>
            </w:r>
            <w:r>
              <w:rPr>
                <w:lang w:val="en-US" w:bidi="ur-PK"/>
              </w:rPr>
              <w:t>p</w:t>
            </w:r>
            <w:r w:rsidRPr="00AF46C3">
              <w:rPr>
                <w:lang w:val="en-US" w:bidi="ur-PK"/>
              </w:rPr>
              <w:t>-</w:t>
            </w:r>
            <w:r>
              <w:rPr>
                <w:lang w:val="en-US" w:bidi="ur-PK"/>
              </w:rPr>
              <w:t>ValQuest</w:t>
            </w:r>
            <w:r w:rsidR="004E483C">
              <w:rPr>
                <w:lang w:val="en-US" w:bidi="ur-PK"/>
              </w:rPr>
              <w:t>K</w:t>
            </w:r>
            <w:r>
              <w:rPr>
                <w:lang w:val="en-US" w:bidi="ur-PK"/>
              </w:rPr>
              <w:t>K</w:t>
            </w:r>
            <w:r w:rsidRPr="00AF46C3">
              <w:rPr>
                <w:lang w:val="en-US" w:bidi="ur-PK"/>
              </w:rPr>
              <w:t>:</w:t>
            </w:r>
            <w:r>
              <w:rPr>
                <w:lang w:val="en-US" w:bidi="ur-PK"/>
              </w:rPr>
              <w:t>0</w:t>
            </w:r>
            <w:r w:rsidR="004E483C">
              <w:rPr>
                <w:lang w:val="en-US" w:bidi="ur-PK"/>
              </w:rPr>
              <w:t>51</w:t>
            </w:r>
            <w:r w:rsidRPr="00AF46C3">
              <w:rPr>
                <w:lang w:val="en-US" w:bidi="ur-PK"/>
              </w:rPr>
              <w:t>)</w:t>
            </w:r>
          </w:p>
        </w:tc>
      </w:tr>
    </w:tbl>
    <w:p w14:paraId="239F49C3" w14:textId="327B3885" w:rsidR="00B874EE" w:rsidRDefault="00B874EE" w:rsidP="00B874EE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419"/>
        <w:gridCol w:w="630"/>
        <w:gridCol w:w="990"/>
        <w:gridCol w:w="720"/>
        <w:gridCol w:w="2830"/>
        <w:gridCol w:w="1015"/>
      </w:tblGrid>
      <w:tr w:rsidR="00003259" w:rsidRPr="00C27923" w14:paraId="3B7EAFF9" w14:textId="77777777" w:rsidTr="008412A2">
        <w:trPr>
          <w:trHeight w:val="227"/>
        </w:trPr>
        <w:tc>
          <w:tcPr>
            <w:tcW w:w="0" w:type="auto"/>
            <w:vAlign w:val="center"/>
          </w:tcPr>
          <w:p w14:paraId="60DBA154" w14:textId="77777777" w:rsidR="00003259" w:rsidRDefault="00003259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419" w:type="dxa"/>
            <w:shd w:val="clear" w:color="auto" w:fill="auto"/>
            <w:vAlign w:val="center"/>
          </w:tcPr>
          <w:p w14:paraId="64C90794" w14:textId="77777777" w:rsidR="00003259" w:rsidRPr="00C27923" w:rsidRDefault="00003259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4E483C">
              <w:t>buːɖa</w:t>
            </w:r>
            <w:proofErr w:type="spellEnd"/>
            <w:r w:rsidRPr="004E483C">
              <w:t>ː</w:t>
            </w:r>
            <w:r>
              <w:t>-</w:t>
            </w:r>
            <w:proofErr w:type="spellStart"/>
            <w:r w:rsidRPr="004E483C">
              <w:t>gaːn</w:t>
            </w:r>
            <w:proofErr w:type="spellEnd"/>
            <w:r w:rsidRPr="004E483C">
              <w:t xml:space="preserve"> 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0F34A078" w14:textId="77777777" w:rsidR="00003259" w:rsidRPr="00B2189F" w:rsidRDefault="00003259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lang w:bidi="ur-PK"/>
              </w:rPr>
            </w:pPr>
            <w:proofErr w:type="spellStart"/>
            <w:r w:rsidRPr="00B2189F">
              <w:rPr>
                <w:b/>
              </w:rPr>
              <w:t>pə</w:t>
            </w:r>
            <w:proofErr w:type="spellEnd"/>
            <w:r w:rsidRPr="00B2189F">
              <w:rPr>
                <w:b/>
              </w:rPr>
              <w:t xml:space="preserve"> 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0FCDE0D" w14:textId="77777777" w:rsidR="00003259" w:rsidRPr="00AF46C3" w:rsidRDefault="00003259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4E483C">
              <w:t>kəli</w:t>
            </w:r>
            <w:proofErr w:type="spellEnd"/>
            <w:r w:rsidRPr="004E483C">
              <w:t xml:space="preserve">ː 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FDF9D59" w14:textId="77777777" w:rsidR="00003259" w:rsidRPr="00C27923" w:rsidRDefault="00003259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4E483C">
              <w:t>ki</w:t>
            </w:r>
            <w:proofErr w:type="spellEnd"/>
            <w:r w:rsidRPr="004E483C">
              <w:t xml:space="preserve">ː </w:t>
            </w:r>
          </w:p>
        </w:tc>
        <w:tc>
          <w:tcPr>
            <w:tcW w:w="2830" w:type="dxa"/>
            <w:shd w:val="clear" w:color="auto" w:fill="auto"/>
            <w:vAlign w:val="center"/>
          </w:tcPr>
          <w:p w14:paraId="30A4264A" w14:textId="77777777" w:rsidR="00003259" w:rsidRPr="00C27923" w:rsidRDefault="00003259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4E483C">
              <w:t>uːs</w:t>
            </w:r>
            <w:r>
              <w:t>-</w:t>
            </w:r>
            <w:r w:rsidRPr="004E483C">
              <w:t>i</w:t>
            </w:r>
            <w:proofErr w:type="spellEnd"/>
            <w:r w:rsidRPr="004E483C">
              <w:t>ː</w:t>
            </w:r>
            <w:r>
              <w:t>.</w:t>
            </w:r>
          </w:p>
        </w:tc>
        <w:tc>
          <w:tcPr>
            <w:tcW w:w="1015" w:type="dxa"/>
            <w:shd w:val="clear" w:color="auto" w:fill="auto"/>
            <w:vAlign w:val="center"/>
          </w:tcPr>
          <w:p w14:paraId="245DBF40" w14:textId="77777777" w:rsidR="00003259" w:rsidRPr="00C27923" w:rsidRDefault="00003259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</w:p>
        </w:tc>
      </w:tr>
      <w:tr w:rsidR="00003259" w:rsidRPr="009456F1" w14:paraId="01D7E457" w14:textId="77777777" w:rsidTr="008412A2">
        <w:trPr>
          <w:trHeight w:val="227"/>
        </w:trPr>
        <w:tc>
          <w:tcPr>
            <w:tcW w:w="0" w:type="auto"/>
            <w:vAlign w:val="center"/>
          </w:tcPr>
          <w:p w14:paraId="0631C65E" w14:textId="77777777" w:rsidR="00003259" w:rsidRDefault="00003259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419" w:type="dxa"/>
            <w:shd w:val="clear" w:color="auto" w:fill="auto"/>
          </w:tcPr>
          <w:p w14:paraId="3E93AEA2" w14:textId="77777777" w:rsidR="00003259" w:rsidRPr="00C27923" w:rsidRDefault="00003259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proofErr w:type="spellStart"/>
            <w:proofErr w:type="gramStart"/>
            <w:r>
              <w:rPr>
                <w:lang w:bidi="ur-PK"/>
              </w:rPr>
              <w:t>old.person</w:t>
            </w:r>
            <w:proofErr w:type="spellEnd"/>
            <w:proofErr w:type="gramEnd"/>
            <w:r>
              <w:rPr>
                <w:lang w:bidi="ur-PK"/>
              </w:rPr>
              <w:t>-</w:t>
            </w:r>
            <w:r w:rsidRPr="00B2189F">
              <w:rPr>
                <w:smallCaps/>
                <w:lang w:bidi="ur-PK"/>
              </w:rPr>
              <w:t>pl</w:t>
            </w:r>
          </w:p>
        </w:tc>
        <w:tc>
          <w:tcPr>
            <w:tcW w:w="630" w:type="dxa"/>
            <w:shd w:val="clear" w:color="auto" w:fill="auto"/>
          </w:tcPr>
          <w:p w14:paraId="429F5651" w14:textId="77777777" w:rsidR="00003259" w:rsidRPr="00964060" w:rsidRDefault="00003259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[at</w:t>
            </w:r>
          </w:p>
        </w:tc>
        <w:tc>
          <w:tcPr>
            <w:tcW w:w="990" w:type="dxa"/>
            <w:shd w:val="clear" w:color="auto" w:fill="auto"/>
          </w:tcPr>
          <w:p w14:paraId="75BF369E" w14:textId="77777777" w:rsidR="00003259" w:rsidRPr="00AF46C3" w:rsidRDefault="00003259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village</w:t>
            </w:r>
          </w:p>
        </w:tc>
        <w:tc>
          <w:tcPr>
            <w:tcW w:w="720" w:type="dxa"/>
            <w:shd w:val="clear" w:color="auto" w:fill="auto"/>
          </w:tcPr>
          <w:p w14:paraId="439F3965" w14:textId="77777777" w:rsidR="00003259" w:rsidRPr="00964060" w:rsidRDefault="00003259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in]</w:t>
            </w:r>
          </w:p>
        </w:tc>
        <w:tc>
          <w:tcPr>
            <w:tcW w:w="2830" w:type="dxa"/>
            <w:shd w:val="clear" w:color="auto" w:fill="auto"/>
          </w:tcPr>
          <w:p w14:paraId="4E69A40B" w14:textId="77777777" w:rsidR="00003259" w:rsidRPr="00AF46C3" w:rsidRDefault="00003259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live.</w:t>
            </w:r>
            <w:r w:rsidRPr="00B2189F">
              <w:rPr>
                <w:smallCaps/>
                <w:lang w:bidi="ur-PK"/>
              </w:rPr>
              <w:t>prs-3</w:t>
            </w:r>
          </w:p>
        </w:tc>
        <w:tc>
          <w:tcPr>
            <w:tcW w:w="1015" w:type="dxa"/>
            <w:shd w:val="clear" w:color="auto" w:fill="auto"/>
          </w:tcPr>
          <w:p w14:paraId="45C7175B" w14:textId="77777777" w:rsidR="00003259" w:rsidRPr="009456F1" w:rsidRDefault="00003259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val="en-US" w:bidi="ur-PK"/>
              </w:rPr>
            </w:pPr>
          </w:p>
        </w:tc>
      </w:tr>
      <w:tr w:rsidR="00003259" w:rsidRPr="00AF46C3" w14:paraId="5E1E3BC1" w14:textId="77777777" w:rsidTr="008412A2">
        <w:trPr>
          <w:trHeight w:val="227"/>
        </w:trPr>
        <w:tc>
          <w:tcPr>
            <w:tcW w:w="0" w:type="auto"/>
            <w:vAlign w:val="center"/>
          </w:tcPr>
          <w:p w14:paraId="525F8EC2" w14:textId="77777777" w:rsidR="00003259" w:rsidRPr="00696479" w:rsidRDefault="00003259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7604" w:type="dxa"/>
            <w:gridSpan w:val="6"/>
            <w:shd w:val="clear" w:color="auto" w:fill="auto"/>
          </w:tcPr>
          <w:p w14:paraId="36F48850" w14:textId="77777777" w:rsidR="00003259" w:rsidRPr="00AF46C3" w:rsidRDefault="00003259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AF46C3">
              <w:t>‘</w:t>
            </w:r>
            <w:r>
              <w:t>The old people live in town</w:t>
            </w:r>
            <w:r w:rsidRPr="00AF46C3">
              <w:t>.’ (</w:t>
            </w:r>
            <w:r>
              <w:t>PBUp</w:t>
            </w:r>
            <w:r w:rsidRPr="00AF46C3">
              <w:t>-</w:t>
            </w:r>
            <w:r>
              <w:t>ValQuestKK</w:t>
            </w:r>
            <w:r w:rsidRPr="00AF46C3">
              <w:t>:0</w:t>
            </w:r>
            <w:r>
              <w:t>56</w:t>
            </w:r>
            <w:r w:rsidRPr="00AF46C3">
              <w:t>)</w:t>
            </w:r>
          </w:p>
        </w:tc>
      </w:tr>
    </w:tbl>
    <w:p w14:paraId="3C3422C7" w14:textId="77777777" w:rsidR="00003259" w:rsidRDefault="00003259" w:rsidP="00B874EE">
      <w:pPr>
        <w:rPr>
          <w:lang w:val="en-GB"/>
        </w:rPr>
      </w:pPr>
    </w:p>
    <w:p w14:paraId="30DD7FA1" w14:textId="0FAE24F0" w:rsidR="00B874EE" w:rsidRDefault="00B874EE" w:rsidP="00B874EE">
      <w:pPr>
        <w:rPr>
          <w:lang w:val="en-GB"/>
        </w:rPr>
      </w:pPr>
      <w:r>
        <w:rPr>
          <w:lang w:val="en-US"/>
        </w:rPr>
        <w:t>This is a minority feature and</w:t>
      </w:r>
      <w:r w:rsidR="00003259">
        <w:rPr>
          <w:lang w:val="en-US"/>
        </w:rPr>
        <w:t>, in this data sample,</w:t>
      </w:r>
      <w:r>
        <w:rPr>
          <w:lang w:val="en-US"/>
        </w:rPr>
        <w:t xml:space="preserve"> limited to Iranian languages </w:t>
      </w:r>
      <w:r w:rsidR="00CF1A2C">
        <w:rPr>
          <w:lang w:val="en-US"/>
        </w:rPr>
        <w:t xml:space="preserve">(primarily </w:t>
      </w:r>
      <w:r>
        <w:rPr>
          <w:lang w:val="en-US"/>
        </w:rPr>
        <w:t>in the north</w:t>
      </w:r>
      <w:r w:rsidR="00CF1A2C">
        <w:rPr>
          <w:lang w:val="en-US"/>
        </w:rPr>
        <w:t>)</w:t>
      </w:r>
      <w:r>
        <w:rPr>
          <w:lang w:val="en-US"/>
        </w:rPr>
        <w:t xml:space="preserve">. </w:t>
      </w:r>
      <w:r w:rsidR="00003259">
        <w:rPr>
          <w:lang w:val="en-US"/>
        </w:rPr>
        <w:t>In those languages it</w:t>
      </w:r>
      <w:r>
        <w:rPr>
          <w:lang w:val="en-US"/>
        </w:rPr>
        <w:t xml:space="preserve"> is </w:t>
      </w:r>
      <w:r w:rsidR="00003259">
        <w:rPr>
          <w:lang w:val="en-US"/>
        </w:rPr>
        <w:t xml:space="preserve">sometimes </w:t>
      </w:r>
      <w:r>
        <w:rPr>
          <w:lang w:val="en-US"/>
        </w:rPr>
        <w:t>present in addition to other coding, such as suffixing or a postposition.</w:t>
      </w:r>
      <w:r w:rsidR="003B45AF">
        <w:rPr>
          <w:lang w:val="en-US"/>
        </w:rPr>
        <w:t xml:space="preserve"> </w:t>
      </w:r>
      <w:bookmarkStart w:id="2" w:name="_GoBack"/>
      <w:bookmarkEnd w:id="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B874EE" w:rsidRPr="008E3982" w14:paraId="7A56184D" w14:textId="77777777" w:rsidTr="005F6F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3C760966" w14:textId="77777777" w:rsidR="00B874EE" w:rsidRPr="008E3982" w:rsidRDefault="00B874EE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7535397" w14:textId="77777777" w:rsidR="00B874EE" w:rsidRPr="008E3982" w:rsidRDefault="00B874EE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2BA90E8" w14:textId="77777777" w:rsidR="00B874EE" w:rsidRPr="008E3982" w:rsidRDefault="00B874EE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B874EE" w:rsidRPr="008E3982" w14:paraId="5742DE0C" w14:textId="77777777" w:rsidTr="005F6F05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EF4446" w14:textId="77777777" w:rsidR="00B874EE" w:rsidRPr="008E3982" w:rsidRDefault="00B874EE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1B067A" w14:textId="0E2F0777" w:rsidR="00B874EE" w:rsidRPr="008E3982" w:rsidRDefault="00CF1A2C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D43004" w14:textId="73A9FF85" w:rsidR="00B874EE" w:rsidRPr="008E3982" w:rsidRDefault="000C1126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19</w:t>
            </w:r>
          </w:p>
        </w:tc>
      </w:tr>
      <w:tr w:rsidR="00B874EE" w:rsidRPr="008E3982" w14:paraId="0E48281A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4D4EF9" w14:textId="77777777" w:rsidR="00B874EE" w:rsidRPr="008E3982" w:rsidRDefault="00B874EE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DB6D6B" w14:textId="48D66883" w:rsidR="00B874EE" w:rsidRPr="008E3982" w:rsidRDefault="00B76D9F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0155DF" w14:textId="722989B6" w:rsidR="00B874EE" w:rsidRPr="00294D6F" w:rsidRDefault="000C1126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81</w:t>
            </w:r>
          </w:p>
        </w:tc>
      </w:tr>
      <w:tr w:rsidR="00B874EE" w:rsidRPr="008E3982" w14:paraId="2F8F3436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3729FE" w14:textId="77777777" w:rsidR="00B874EE" w:rsidRPr="008E3982" w:rsidRDefault="00B874EE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529FC2" w14:textId="3D3E131B" w:rsidR="00B874EE" w:rsidRPr="008E3982" w:rsidRDefault="00CF1A2C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C7AEF1" w14:textId="5BBC8D65" w:rsidR="00B874EE" w:rsidRPr="008E3982" w:rsidRDefault="000C1126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</w:tbl>
    <w:p w14:paraId="23D2BB3C" w14:textId="77777777" w:rsidR="00B874EE" w:rsidRPr="00707D69" w:rsidRDefault="00B874EE" w:rsidP="00B874EE">
      <w:pPr>
        <w:rPr>
          <w:lang w:val="en-US"/>
        </w:rPr>
      </w:pPr>
    </w:p>
    <w:p w14:paraId="32D3C9BE" w14:textId="77777777" w:rsidR="00F671E3" w:rsidRPr="00763178" w:rsidRDefault="00F671E3" w:rsidP="00763178"/>
    <w:sectPr w:rsidR="00F671E3" w:rsidRPr="00763178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CC3EC4" w14:textId="77777777" w:rsidR="00AF498D" w:rsidRDefault="00AF498D" w:rsidP="00183404">
      <w:pPr>
        <w:spacing w:after="0" w:line="240" w:lineRule="auto"/>
      </w:pPr>
      <w:r>
        <w:separator/>
      </w:r>
    </w:p>
  </w:endnote>
  <w:endnote w:type="continuationSeparator" w:id="0">
    <w:p w14:paraId="29715807" w14:textId="77777777" w:rsidR="00AF498D" w:rsidRDefault="00AF498D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DE1DA8" w14:textId="77777777" w:rsidR="00AF498D" w:rsidRDefault="00AF498D" w:rsidP="00183404">
      <w:pPr>
        <w:spacing w:after="0" w:line="240" w:lineRule="auto"/>
      </w:pPr>
      <w:r>
        <w:separator/>
      </w:r>
    </w:p>
  </w:footnote>
  <w:footnote w:type="continuationSeparator" w:id="0">
    <w:p w14:paraId="3A397B83" w14:textId="77777777" w:rsidR="00AF498D" w:rsidRDefault="00AF498D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FCC"/>
    <w:rsid w:val="00003259"/>
    <w:rsid w:val="00030811"/>
    <w:rsid w:val="000C1126"/>
    <w:rsid w:val="00143428"/>
    <w:rsid w:val="00183404"/>
    <w:rsid w:val="001A21D5"/>
    <w:rsid w:val="001A72EB"/>
    <w:rsid w:val="00317D35"/>
    <w:rsid w:val="0032599D"/>
    <w:rsid w:val="003334D7"/>
    <w:rsid w:val="003B45AF"/>
    <w:rsid w:val="0041258A"/>
    <w:rsid w:val="00451BA8"/>
    <w:rsid w:val="00460E12"/>
    <w:rsid w:val="004C26F1"/>
    <w:rsid w:val="004E483C"/>
    <w:rsid w:val="00516BD0"/>
    <w:rsid w:val="00546568"/>
    <w:rsid w:val="005772FF"/>
    <w:rsid w:val="005A1B34"/>
    <w:rsid w:val="006876FA"/>
    <w:rsid w:val="006A61B0"/>
    <w:rsid w:val="00745125"/>
    <w:rsid w:val="00763178"/>
    <w:rsid w:val="00770FCC"/>
    <w:rsid w:val="008477C8"/>
    <w:rsid w:val="008B2BBD"/>
    <w:rsid w:val="0093081C"/>
    <w:rsid w:val="009E408A"/>
    <w:rsid w:val="00A141ED"/>
    <w:rsid w:val="00A735C0"/>
    <w:rsid w:val="00A756A3"/>
    <w:rsid w:val="00AD61AB"/>
    <w:rsid w:val="00AF498D"/>
    <w:rsid w:val="00B2189F"/>
    <w:rsid w:val="00B76D9F"/>
    <w:rsid w:val="00B874EE"/>
    <w:rsid w:val="00BE06A8"/>
    <w:rsid w:val="00BE3A0E"/>
    <w:rsid w:val="00C10E40"/>
    <w:rsid w:val="00C55CD7"/>
    <w:rsid w:val="00CB6AB4"/>
    <w:rsid w:val="00CD4B38"/>
    <w:rsid w:val="00CF1A2C"/>
    <w:rsid w:val="00CF3875"/>
    <w:rsid w:val="00E31FB2"/>
    <w:rsid w:val="00E36E68"/>
    <w:rsid w:val="00F0035E"/>
    <w:rsid w:val="00F024EF"/>
    <w:rsid w:val="00F0715D"/>
    <w:rsid w:val="00F309F7"/>
    <w:rsid w:val="00F65005"/>
    <w:rsid w:val="00F6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85D338"/>
  <w15:chartTrackingRefBased/>
  <w15:docId w15:val="{1CDFDDCA-E635-4212-AAEB-9BF507E61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B874EE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B874EE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B874EE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B874EE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B874EE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B874EE"/>
    <w:rPr>
      <w:rFonts w:ascii="Times New Roman" w:eastAsia="Times New Roman" w:hAnsi="Times New Roman" w:cs="Times New Roman"/>
      <w:lang w:val="en-GB"/>
    </w:rPr>
  </w:style>
  <w:style w:type="paragraph" w:customStyle="1" w:styleId="Normaltext">
    <w:name w:val="Normal text"/>
    <w:qFormat/>
    <w:rsid w:val="00B874EE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12</cp:revision>
  <dcterms:created xsi:type="dcterms:W3CDTF">2020-09-15T11:07:00Z</dcterms:created>
  <dcterms:modified xsi:type="dcterms:W3CDTF">2020-11-03T06:53:00Z</dcterms:modified>
</cp:coreProperties>
</file>