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pPr>
      <w:r>
        <w:rPr>
          <w:rFonts w:ascii="Calibri" w:cs="Calibri" w:eastAsia="Calibri" w:hAnsi="Calibri"/>
          <w:b w:val="false"/>
          <w:bCs w:val="false"/>
          <w:sz w:val="22"/>
          <w:szCs w:val="22"/>
        </w:rPr>
        <w:t xml:space="preserve">March 2026</w:t>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results were digitized for this report.</w:t>
      </w:r>
    </w:p>
    <w:p>
      <w:r>
        <w:rPr>
          <w:rFonts w:ascii="Calibri" w:cs="Calibri" w:eastAsia="Calibri" w:hAnsi="Calibri"/>
          <w:sz w:val="22"/>
          <w:szCs w:val="22"/>
        </w:rPr>
        <w:t xml:space="preserve">103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18–20 years old.</w:t>
      </w:r>
    </w:p>
    <w:p>
      <w:pPr>
        <w:pStyle w:val="Normal"/>
      </w:pPr>
      <w:r>
        <w:rPr>
          <w:rFonts w:ascii="Calibri" w:cs="Calibri" w:eastAsia="Calibri" w:hAnsi="Calibri"/>
          <w:b w:val="false"/>
          <w:bCs w:val="false"/>
          <w:sz w:val="22"/>
          <w:szCs w:val="22"/>
        </w:rPr>
        <w:t xml:space="preserve"/>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More females (53%) responded to the survey than males (34%). The table below shows how respondents identified by gender and sexual orientation.</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pPr>
      <w:r>
        <w:rPr>
          <w:rFonts w:ascii="Calibri" w:cs="Calibri" w:eastAsia="Calibri" w:hAnsi="Calibri"/>
          <w:b w:val="false"/>
          <w:bCs w:val="false"/>
          <w:sz w:val="22"/>
          <w:szCs w:val="22"/>
        </w:rPr>
        <w:t xml:space="preserve">About 52% of survey respondents identified as Black, 27% as White, and 18% as Multiracial.</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spacing w:after="120"/>
        <w:jc w:val="center"/>
      </w:pPr>
      <w:r>
        <w:drawing>
          <wp:inline distT="0" distB="0" distL="0" distR="0">
            <wp:extent cx="43548300000" cy="1594933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548300000" cy="15949336275"/>
                    </a:xfrm>
                    <a:prstGeom prst="rect">
                      <a:avLst/>
                    </a:prstGeom>
                  </pic:spPr>
                </pic:pic>
              </a:graphicData>
            </a:graphic>
          </wp:inline>
        </w:drawing>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Heading1"/>
      </w:pPr>
      <w:r>
        <w:t xml:space="preserve">FINDINGS</w:t>
      </w:r>
    </w:p>
    <w:p>
      <w:pPr>
        <w:pStyle w:val="Normal"/>
      </w:pPr>
      <w:r>
        <w:rPr>
          <w:rFonts w:ascii="Calibri" w:cs="Calibri" w:eastAsia="Calibri" w:hAnsi="Calibri"/>
          <w:b w:val="false"/>
          <w:bCs w:val="false"/>
          <w:sz w:val="22"/>
          <w:szCs w:val="22"/>
        </w:rPr>
        <w:t xml:space="preserve"/>
      </w:r>
    </w:p>
    <w:p>
      <w:pPr>
        <w:pStyle w:val="Heading2"/>
      </w:pPr>
      <w:r>
        <w:t xml:space="preserve">Relationships with Coach</w:t>
      </w:r>
    </w:p>
    <w:p>
      <w:pPr>
        <w:pStyle w:val="Normal"/>
      </w:pPr>
      <w:r>
        <w:rPr>
          <w:rFonts w:ascii="Calibri" w:cs="Calibri" w:eastAsia="Calibri" w:hAnsi="Calibri"/>
          <w:b w:val="false"/>
          <w:bCs w:val="false"/>
          <w:sz w:val="22"/>
          <w:szCs w:val="22"/>
        </w:rPr>
        <w:t xml:space="preserve">90% of youth reported their coaches were trustworthy, and 90% indicated their coach values their opinions about their life. Ratings across all five coach relationship items are shown in the table below.</w:t>
      </w:r>
    </w:p>
    <w:p>
      <w:pPr>
        <w:pStyle w:val="Caption"/>
      </w:pPr>
      <w:r>
        <w:rPr>
          <w:rFonts w:ascii="Calibri" w:cs="Calibri" w:eastAsia="Calibri" w:hAnsi="Calibri"/>
          <w:b/>
          <w:bCs/>
          <w:sz w:val="22"/>
          <w:szCs w:val="22"/>
        </w:rPr>
        <w:t xml:space="preserve">Satisfaction Ratings for Youth Coaches Over Time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My Youth Coach…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Sep-19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Sep-19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trustworthy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Values my opinions about my life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available to me when I need them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86%</w:t>
            </w:r>
          </w:p>
        </w:tc>
      </w:tr>
    </w:tbl>
    <w:p>
      <w:pPr>
        <w:spacing w:after="120"/>
        <w:jc w:val="center"/>
      </w:pPr>
      <w:r>
        <w:drawing>
          <wp:inline distT="0" distB="0" distL="0" distR="0">
            <wp:extent cx="47903130000" cy="20576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903130000" cy="20576114550"/>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The majority of youth communicate with their coaches weekly or monthly. A small number of youth reported their communication was Not Enough.</w:t>
      </w:r>
    </w:p>
    <w:p>
      <w:pPr>
        <w:pStyle w:val="Normal"/>
      </w:pPr>
      <w:r>
        <w:rPr>
          <w:rFonts w:ascii="Calibri" w:cs="Calibri" w:eastAsia="Calibri" w:hAnsi="Calibri"/>
          <w:b w:val="false"/>
          <w:bCs w:val="false"/>
          <w:sz w:val="22"/>
          <w:szCs w:val="22"/>
        </w:rPr>
        <w:t xml:space="preserve"/>
      </w:r>
    </w:p>
    <w:p>
      <w:pPr>
        <w:pStyle w:val="Heading1"/>
      </w:pPr>
      <w:r>
        <w:t xml:space="preserve">Stable Housing</w:t>
      </w:r>
    </w:p>
    <w:p>
      <w:pPr>
        <w:pStyle w:val="Normal"/>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90 days. Youth with unstable housing were then asked where they are currently sleeping.</w:t>
      </w:r>
    </w:p>
    <w:p>
      <w:pPr>
        <w:pStyle w:val="Normal"/>
      </w:pPr>
      <w:r>
        <w:rPr>
          <w:rFonts w:ascii="Calibri" w:cs="Calibri" w:eastAsia="Calibri" w:hAnsi="Calibri"/>
          <w:b w:val="false"/>
          <w:bCs w:val="false"/>
          <w:sz w:val="22"/>
          <w:szCs w:val="22"/>
        </w:rPr>
        <w:t xml:space="preserve">About 72% of respondents reported safe and stable housing. For the remainder, current sleeping arrangements are shown in the table below.</w:t>
      </w:r>
    </w:p>
    <w:p>
      <w:pPr>
        <w:pStyle w:val="Caption"/>
      </w:pPr>
      <w:r>
        <w:rPr>
          <w:rFonts w:ascii="Calibri" w:cs="Calibri" w:eastAsia="Calibri" w:hAnsi="Calibri"/>
          <w:b/>
          <w:bCs/>
          <w:sz w:val="22"/>
          <w:szCs w:val="22"/>
        </w:rPr>
        <w:t xml:space="preserve">Housing Status and Current Sleeping Arrangements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but cannot stay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90 days, but not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12</w:t>
            </w:r>
          </w:p>
        </w:tc>
      </w:tr>
    </w:tbl>
    <w:p>
      <w:pPr>
        <w:spacing w:after="120"/>
        <w:jc w:val="center"/>
      </w:pPr>
      <w:r>
        <w:drawing>
          <wp:inline distT="0" distB="0" distL="0" distR="0">
            <wp:extent cx="47903130000" cy="2666230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903130000" cy="26662303800"/>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identify the reason(s).</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pPr>
      <w:r>
        <w:rPr>
          <w:rFonts w:ascii="Calibri" w:cs="Calibri" w:eastAsia="Calibri" w:hAnsi="Calibri"/>
          <w:b w:val="false"/>
          <w:bCs w:val="false"/>
          <w:sz w:val="22"/>
          <w:szCs w:val="22"/>
        </w:rPr>
        <w:t xml:space="preserve">¹ Youth could report more than one reason for experiencing unstable housing.</w:t>
      </w:r>
    </w:p>
    <w:p>
      <w:pPr>
        <w:pStyle w:val="Normal"/>
      </w:pPr>
      <w:r>
        <w:rPr>
          <w:rFonts w:ascii="Calibri" w:cs="Calibri" w:eastAsia="Calibri" w:hAnsi="Calibri"/>
          <w:b w:val="false"/>
          <w:bCs w:val="false"/>
          <w:sz w:val="22"/>
          <w:szCs w:val="22"/>
        </w:rPr>
        <w:t xml:space="preserve"/>
      </w:r>
    </w:p>
    <w:p>
      <w:pPr>
        <w:pStyle w:val="Heading1"/>
      </w:pPr>
      <w:r>
        <w:t xml:space="preserve">Employment and Education</w:t>
      </w:r>
    </w:p>
    <w:p>
      <w:pPr>
        <w:pStyle w:val="ListParagraph"/>
        <w:numPr>
          <w:ilvl w:val="0"/>
          <w:numId w:val="2"/>
        </w:numPr>
      </w:pPr>
      <w:r>
        <w:rPr>
          <w:rFonts w:ascii="Calibri" w:cs="Calibri" w:eastAsia="Calibri" w:hAnsi="Calibri"/>
          <w:sz w:val="22"/>
          <w:szCs w:val="22"/>
        </w:rPr>
        <w:t xml:space="preserve">46% of all respondents reported being enrolled in school</w:t>
      </w:r>
    </w:p>
    <w:p>
      <w:pPr>
        <w:pStyle w:val="ListParagraph"/>
        <w:numPr>
          <w:ilvl w:val="0"/>
          <w:numId w:val="2"/>
        </w:numPr>
      </w:pPr>
      <w:r>
        <w:rPr>
          <w:rFonts w:ascii="Calibri" w:cs="Calibri" w:eastAsia="Calibri" w:hAnsi="Calibri"/>
          <w:sz w:val="22"/>
          <w:szCs w:val="22"/>
        </w:rPr>
        <w:t xml:space="preserve">44% of all respondents reported being employed (44% of these youth are also enrolled in school)</w:t>
      </w:r>
    </w:p>
    <w:p>
      <w:pPr>
        <w:pStyle w:val="ListParagraph"/>
        <w:numPr>
          <w:ilvl w:val="0"/>
          <w:numId w:val="2"/>
        </w:numPr>
      </w:pPr>
      <w:r>
        <w:rPr>
          <w:rFonts w:ascii="Calibri" w:cs="Calibri" w:eastAsia="Calibri" w:hAnsi="Calibri"/>
          <w:sz w:val="22"/>
          <w:szCs w:val="22"/>
        </w:rPr>
        <w:t xml:space="preserve">73% of respondents who are in school and unemployed are looking for a job</w:t>
      </w:r>
    </w:p>
    <w:p>
      <w:pPr>
        <w:pStyle w:val="ListParagraph"/>
        <w:numPr>
          <w:ilvl w:val="0"/>
          <w:numId w:val="2"/>
        </w:numPr>
      </w:pPr>
      <w:r>
        <w:rPr>
          <w:rFonts w:ascii="Calibri" w:cs="Calibri" w:eastAsia="Calibri" w:hAnsi="Calibri"/>
          <w:sz w:val="22"/>
          <w:szCs w:val="22"/>
        </w:rPr>
        <w:t xml:space="preserve">82% of respondents who are not in school and unemployed are looking for a job</w:t>
      </w:r>
    </w:p>
    <w:p>
      <w:pPr>
        <w:pStyle w:val="ListParagraph"/>
        <w:numPr>
          <w:ilvl w:val="0"/>
          <w:numId w:val="2"/>
        </w:numPr>
      </w:pPr>
      <w:r>
        <w:rPr>
          <w:rFonts w:ascii="Calibri" w:cs="Calibri" w:eastAsia="Calibri" w:hAnsi="Calibri"/>
          <w:sz w:val="22"/>
          <w:szCs w:val="22"/>
        </w:rPr>
        <w:t xml:space="preserve">22% of respondents are both not in school and unemployed; 7 of these 44 youth report not completing high school or a GED</w:t>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Of the 86% of survey respondents that reported being employed, 48% have been at their job for six months or longer.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Normal"/>
      </w:pPr>
      <w:r>
        <w:rPr>
          <w:rFonts w:ascii="Calibri" w:cs="Calibri" w:eastAsia="Calibri" w:hAnsi="Calibri"/>
          <w:b w:val="false"/>
          <w:bCs w:val="false"/>
          <w:sz w:val="22"/>
          <w:szCs w:val="22"/>
        </w:rPr>
        <w:t xml:space="preserve"/>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spacing w:after="120"/>
        <w:jc w:val="center"/>
      </w:pPr>
      <w:r>
        <w:drawing>
          <wp:inline distT="0" distB="0" distL="0" distR="0">
            <wp:extent cx="47903130000" cy="2663979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903130000" cy="26639796225"/>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If survey respondents had trouble finding a job in the prior twelve months, they were asked to share some of the reasons why. The most common challenge identified, reported by 41% of youth, was applying and not getting called.</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Note: Youth could select more than one option</w:t>
      </w:r>
    </w:p>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If the survey respondent lost or left a job in the past year, they were asked to share the reason(s).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Normal"/>
      </w:pPr>
      <w:r>
        <w:rPr>
          <w:rFonts w:ascii="Calibri" w:cs="Calibri" w:eastAsia="Calibri" w:hAnsi="Calibri"/>
          <w:b w:val="false"/>
          <w:bCs w:val="false"/>
          <w:sz w:val="22"/>
          <w:szCs w:val="22"/>
        </w:rPr>
        <w:t xml:space="preserve"/>
      </w:r>
    </w:p>
    <w:p>
      <w:pPr>
        <w:pStyle w:val="Heading1"/>
      </w:pPr>
      <w:r>
        <w:t xml:space="preserve">TRANSPORTATION</w:t>
      </w:r>
    </w:p>
    <w:p>
      <w:pPr>
        <w:pStyle w:val="Normal"/>
      </w:pPr>
      <w:r>
        <w:rPr>
          <w:rFonts w:ascii="Calibri" w:cs="Calibri" w:eastAsia="Calibri" w:hAnsi="Calibri"/>
          <w:b w:val="false"/>
          <w:bCs w:val="false"/>
          <w:sz w:val="22"/>
          <w:szCs w:val="22"/>
        </w:rPr>
        <w:t xml:space="preserve">Youth were also asked about whether they have a driver’s license and the type of transportation they rely on for work. The table below displays driver’s license status by age.</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Of those with a driver’s license, about half regularly have access to a reliable vehicle.</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pPr>
      <w:r>
        <w:rPr>
          <w:rFonts w:ascii="Calibri" w:cs="Calibri" w:eastAsia="Calibri" w:hAnsi="Calibri"/>
          <w:b w:val="false"/>
          <w:bCs w:val="false"/>
          <w:sz w:val="22"/>
          <w:szCs w:val="22"/>
        </w:rPr>
        <w:t xml:space="preserve">All youth were asked about the primary way they get to work when they are employed. The majority rely on public transportation.</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pPr>
      <w:r>
        <w:rPr>
          <w:rFonts w:ascii="Calibri" w:cs="Calibri" w:eastAsia="Calibri" w:hAnsi="Calibri"/>
          <w:b w:val="false"/>
          <w:bCs w:val="false"/>
          <w:sz w:val="22"/>
          <w:szCs w:val="22"/>
        </w:rPr>
        <w:t xml:space="preserve"/>
      </w:r>
    </w:p>
    <w:p>
      <w:pPr>
        <w:pStyle w:val="Heading1"/>
      </w:pPr>
      <w:r>
        <w:t xml:space="preserve">Voting</w:t>
      </w:r>
    </w:p>
    <w:p>
      <w:pPr>
        <w:pStyle w:val="Normal"/>
      </w:pPr>
      <w:r>
        <w:rPr>
          <w:rFonts w:ascii="Calibri" w:cs="Calibri" w:eastAsia="Calibri" w:hAnsi="Calibri"/>
          <w:b w:val="false"/>
          <w:bCs w:val="false"/>
          <w:sz w:val="22"/>
          <w:szCs w:val="22"/>
        </w:rPr>
        <w:t xml:space="preserve">Youth ages 18 and older were asked to report on whether they are registered to vote. Overall, 62% of eligible respondents reported being registered to vote.</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pPr>
      <w:r>
        <w:rPr>
          <w:rFonts w:ascii="Calibri" w:cs="Calibri" w:eastAsia="Calibri" w:hAnsi="Calibri"/>
          <w:b w:val="false"/>
          <w:bCs w:val="false"/>
          <w:sz w:val="22"/>
          <w:szCs w:val="22"/>
        </w:rPr>
        <w:t xml:space="preserve">The most common reason youth provided for not registering to vote is that they believe their vote won’t make a difference.</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pPr>
      <w:r>
        <w:rPr>
          <w:rFonts w:ascii="Calibri" w:cs="Calibri" w:eastAsia="Calibri" w:hAnsi="Calibri"/>
          <w:b w:val="false"/>
          <w:bCs w:val="false"/>
          <w:sz w:val="22"/>
          <w:szCs w:val="22"/>
        </w:rPr>
        <w:t xml:space="preserve"/>
      </w:r>
    </w:p>
    <w:p>
      <w:pPr>
        <w:pStyle w:val="Heading1"/>
      </w:pPr>
      <w:r>
        <w:t xml:space="preserve">Zone Experience</w:t>
      </w:r>
    </w:p>
    <w:p>
      <w:pPr>
        <w:pStyle w:val="Normal"/>
      </w:pPr>
      <w:r>
        <w:rPr>
          <w:rFonts w:ascii="Calibri" w:cs="Calibri" w:eastAsia="Calibri" w:hAnsi="Calibri"/>
          <w:b w:val="false"/>
          <w:bCs w:val="false"/>
          <w:sz w:val="22"/>
          <w:szCs w:val="22"/>
        </w:rPr>
        <w:t xml:space="preserve">This survey includes questions to better understand participants’ experiences at the Zone. Attendance patterns at the Zone vary by age, with older youth coming more frequently than youth ages 16 to 17.</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spacing w:after="120"/>
        <w:jc w:val="center"/>
      </w:pPr>
      <w:r>
        <w:drawing>
          <wp:inline distT="0" distB="0" distL="0" distR="0">
            <wp:extent cx="47903130000" cy="2666230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903130000" cy="26662303800"/>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As in prior years, most youth report coming to the 412 Youth Zone downtown to see their coach and to work toward their goals.</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For youth who never visit the Zone, or visit less than monthly, they were asked what would make them want to come more frequently.</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Normal"/>
      </w:pPr>
      <w:r>
        <w:rPr>
          <w:rFonts w:ascii="Calibri" w:cs="Calibri" w:eastAsia="Calibri" w:hAnsi="Calibri"/>
          <w:b w:val="false"/>
          <w:bCs w:val="false"/>
          <w:sz w:val="22"/>
          <w:szCs w:val="22"/>
        </w:rPr>
        <w:t xml:space="preserve"/>
      </w:r>
    </w:p>
    <w:p>
      <w:pPr>
        <w:pStyle w:val="Heading1"/>
      </w:pPr>
      <w:r>
        <w:t xml:space="preserve">Impact of Assistance</w:t>
      </w:r>
    </w:p>
    <w:p>
      <w:pPr>
        <w:pStyle w:val="Normal"/>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159% of respondents indicated progress supported by the Zone in at least one area.</w:t>
      </w:r>
    </w:p>
    <w:p>
      <w:pPr>
        <w:pStyle w:val="Normal"/>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Normal"/>
      </w:pPr>
      <w:r>
        <w:rPr>
          <w:rFonts w:ascii="Calibri" w:cs="Calibri" w:eastAsia="Calibri" w:hAnsi="Calibri"/>
          <w:b w:val="false"/>
          <w:bCs w:val="false"/>
          <w:sz w:val="22"/>
          <w:szCs w:val="22"/>
        </w:rPr>
        <w:t xml:space="preserve"/>
      </w:r>
    </w:p>
    <w:p>
      <w:pPr>
        <w:pStyle w:val="Heading1"/>
      </w:pPr>
      <w:r>
        <w:t xml:space="preserve">Banking</w:t>
      </w:r>
    </w:p>
    <w:p>
      <w:pPr>
        <w:pStyle w:val="Normal"/>
      </w:pPr>
      <w:r>
        <w:rPr>
          <w:rFonts w:ascii="Calibri" w:cs="Calibri" w:eastAsia="Calibri" w:hAnsi="Calibri"/>
          <w:b w:val="false"/>
          <w:bCs w:val="false"/>
          <w:sz w:val="22"/>
          <w:szCs w:val="22"/>
        </w:rPr>
        <w:t xml:space="preserve">Participants were asked questions about their use of banks and other ways that they store, receive, and transfer money. Overall, 129% of respondents reported currently having a bank account.</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pPr>
      <w:r>
        <w:rPr>
          <w:rFonts w:ascii="Calibri" w:cs="Calibri" w:eastAsia="Calibri" w:hAnsi="Calibri"/>
          <w:b w:val="false"/>
          <w:bCs w:val="false"/>
          <w:sz w:val="22"/>
          <w:szCs w:val="22"/>
        </w:rPr>
        <w:t xml:space="preserve"/>
      </w:r>
    </w:p>
    <w:p>
      <w:pPr>
        <w:pStyle w:val="Normal"/>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3548300000" cy="1047364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548300000" cy="10473642375"/>
                    </a:xfrm>
                    <a:prstGeom prst="rect">
                      <a:avLst/>
                    </a:prstGeom>
                  </pic:spPr>
                </pic:pic>
              </a:graphicData>
            </a:graphic>
          </wp:inline>
        </w:drawing>
      </w:r>
    </w:p>
    <w:p>
      <w:pPr>
        <w:pStyle w:val="Normal"/>
      </w:pPr>
      <w:r>
        <w:rPr>
          <w:rFonts w:ascii="Calibri" w:cs="Calibri" w:eastAsia="Calibri" w:hAnsi="Calibri"/>
          <w:b w:val="false"/>
          <w:bCs w:val="false"/>
          <w:sz w:val="22"/>
          <w:szCs w:val="22"/>
        </w:rPr>
        <w:t xml:space="preserve"/>
      </w:r>
    </w:p>
    <w:p>
      <w:pPr>
        <w:pStyle w:val="Heading1"/>
      </w:pPr>
      <w:r>
        <w:t xml:space="preserve">Additional Comments</w:t>
      </w:r>
    </w:p>
    <w:p>
      <w:pPr>
        <w:pStyle w:val="Normal"/>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Heading1"/>
      </w:pPr>
      <w:r>
        <w:t xml:space="preserve">Comments</w:t>
      </w:r>
    </w:p>
    <w:p>
      <w:pPr>
        <w:pStyle w:val="ListParagraph"/>
        <w:numPr>
          <w:ilvl w:val="0"/>
          <w:numId w:val="2"/>
        </w:numPr>
      </w:pPr>
      <w:r>
        <w:rPr>
          <w:rFonts w:ascii="Calibri" w:cs="Calibri" w:eastAsia="Calibri" w:hAnsi="Calibri"/>
          <w:sz w:val="22"/>
          <w:szCs w:val="22"/>
        </w:rPr>
        <w:t xml:space="preserve">N/a</w:t>
      </w:r>
    </w:p>
    <w:p>
      <w:pPr>
        <w:pStyle w:val="ListParagraph"/>
        <w:numPr>
          <w:ilvl w:val="0"/>
          <w:numId w:val="2"/>
        </w:numPr>
      </w:pPr>
      <w:r>
        <w:rPr>
          <w:rFonts w:ascii="Calibri" w:cs="Calibri" w:eastAsia="Calibri" w:hAnsi="Calibri"/>
          <w:sz w:val="22"/>
          <w:szCs w:val="22"/>
        </w:rPr>
        <w:t xml:space="preserve">I love the Youth Zone its and escape from home and its very helpful</w:t>
      </w:r>
    </w:p>
    <w:p>
      <w:pPr>
        <w:pStyle w:val="ListParagraph"/>
        <w:numPr>
          <w:ilvl w:val="0"/>
          <w:numId w:val="2"/>
        </w:numPr>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pPr>
      <w:r>
        <w:rPr>
          <w:rFonts w:ascii="Calibri" w:cs="Calibri" w:eastAsia="Calibri" w:hAnsi="Calibri"/>
          <w:sz w:val="22"/>
          <w:szCs w:val="22"/>
        </w:rPr>
        <w:t xml:space="preserve">I should utilize more the resources available.</w:t>
      </w:r>
    </w:p>
    <w:p>
      <w:pPr>
        <w:pStyle w:val="ListParagraph"/>
        <w:numPr>
          <w:ilvl w:val="0"/>
          <w:numId w:val="2"/>
        </w:numPr>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pPr>
      <w:r>
        <w:rPr>
          <w:rFonts w:ascii="Calibri" w:cs="Calibri" w:eastAsia="Calibri" w:hAnsi="Calibri"/>
          <w:sz w:val="22"/>
          <w:szCs w:val="22"/>
        </w:rPr>
        <w:t xml:space="preserve">Not at the moment</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 comment All good</w:t>
      </w:r>
    </w:p>
    <w:p>
      <w:pPr>
        <w:pStyle w:val="ListParagraph"/>
        <w:numPr>
          <w:ilvl w:val="0"/>
          <w:numId w:val="2"/>
        </w:numPr>
      </w:pPr>
      <w:r>
        <w:rPr>
          <w:rFonts w:ascii="Calibri" w:cs="Calibri" w:eastAsia="Calibri" w:hAnsi="Calibri"/>
          <w:sz w:val="22"/>
          <w:szCs w:val="22"/>
        </w:rPr>
        <w:t xml:space="preserve">Why don't they help people really need</w:t>
      </w:r>
    </w:p>
    <w:p>
      <w:pPr>
        <w:pStyle w:val="ListParagraph"/>
        <w:numPr>
          <w:ilvl w:val="0"/>
          <w:numId w:val="2"/>
        </w:numPr>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pPr>
      <w:r>
        <w:rPr>
          <w:rFonts w:ascii="Calibri" w:cs="Calibri" w:eastAsia="Calibri" w:hAnsi="Calibri"/>
          <w:sz w:val="22"/>
          <w:szCs w:val="22"/>
        </w:rPr>
        <w:t xml:space="preserve">they help youth to developp in their Education</w:t>
      </w:r>
    </w:p>
    <w:p>
      <w:pPr>
        <w:pStyle w:val="ListParagraph"/>
        <w:numPr>
          <w:ilvl w:val="0"/>
          <w:numId w:val="2"/>
        </w:numPr>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pPr>
      <w:r>
        <w:rPr>
          <w:rFonts w:ascii="Calibri" w:cs="Calibri" w:eastAsia="Calibri" w:hAnsi="Calibri"/>
          <w:sz w:val="22"/>
          <w:szCs w:val="22"/>
        </w:rPr>
        <w:t xml:space="preserve">Not at this time.</w:t>
      </w:r>
    </w:p>
    <w:p>
      <w:pPr>
        <w:pStyle w:val="ListParagraph"/>
        <w:numPr>
          <w:ilvl w:val="0"/>
          <w:numId w:val="2"/>
        </w:numPr>
      </w:pPr>
      <w:r>
        <w:rPr>
          <w:rFonts w:ascii="Calibri" w:cs="Calibri" w:eastAsia="Calibri" w:hAnsi="Calibri"/>
          <w:sz w:val="22"/>
          <w:szCs w:val="22"/>
        </w:rPr>
        <w:t xml:space="preserve">It's Cool.</w:t>
      </w:r>
    </w:p>
    <w:p>
      <w:pPr>
        <w:pStyle w:val="ListParagraph"/>
        <w:numPr>
          <w:ilvl w:val="0"/>
          <w:numId w:val="2"/>
        </w:numPr>
      </w:pPr>
      <w:r>
        <w:rPr>
          <w:rFonts w:ascii="Calibri" w:cs="Calibri" w:eastAsia="Calibri" w:hAnsi="Calibri"/>
          <w:sz w:val="22"/>
          <w:szCs w:val="22"/>
        </w:rPr>
        <w:t xml:space="preserve">Fire morgan.</w:t>
      </w:r>
    </w:p>
    <w:p>
      <w:pPr>
        <w:pStyle w:val="ListParagraph"/>
        <w:numPr>
          <w:ilvl w:val="0"/>
          <w:numId w:val="2"/>
        </w:numPr>
      </w:pPr>
      <w:r>
        <w:rPr>
          <w:rFonts w:ascii="Calibri" w:cs="Calibri" w:eastAsia="Calibri" w:hAnsi="Calibri"/>
          <w:sz w:val="22"/>
          <w:szCs w:val="22"/>
        </w:rPr>
        <w:t xml:space="preserve">Very welcome &amp; nice staff.</w:t>
      </w:r>
    </w:p>
    <w:p>
      <w:pPr>
        <w:pStyle w:val="ListParagraph"/>
        <w:numPr>
          <w:ilvl w:val="0"/>
          <w:numId w:val="2"/>
        </w:numPr>
      </w:pPr>
      <w:r>
        <w:rPr>
          <w:rFonts w:ascii="Calibri" w:cs="Calibri" w:eastAsia="Calibri" w:hAnsi="Calibri"/>
          <w:sz w:val="22"/>
          <w:szCs w:val="22"/>
        </w:rPr>
        <w:t xml:space="preserve">I want mister Javon to know im doing well</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A/k</w:t>
      </w:r>
    </w:p>
    <w:p>
      <w:pPr>
        <w:pStyle w:val="ListParagraph"/>
        <w:numPr>
          <w:ilvl w:val="0"/>
          <w:numId w:val="2"/>
        </w:numPr>
      </w:pPr>
      <w:r>
        <w:rPr>
          <w:rFonts w:ascii="Calibri" w:cs="Calibri" w:eastAsia="Calibri" w:hAnsi="Calibri"/>
          <w:sz w:val="22"/>
          <w:szCs w:val="22"/>
        </w:rPr>
        <w:t xml:space="preserve">I want that Gift CARD</w:t>
      </w:r>
    </w:p>
    <w:p>
      <w:pPr>
        <w:pStyle w:val="ListParagraph"/>
        <w:numPr>
          <w:ilvl w:val="0"/>
          <w:numId w:val="2"/>
        </w:numPr>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nope</w:t>
      </w:r>
    </w:p>
    <w:p>
      <w:pPr>
        <w:pStyle w:val="ListParagraph"/>
        <w:numPr>
          <w:ilvl w:val="0"/>
          <w:numId w:val="2"/>
        </w:numPr>
      </w:pPr>
      <w:r>
        <w:rPr>
          <w:rFonts w:ascii="Calibri" w:cs="Calibri" w:eastAsia="Calibri" w:hAnsi="Calibri"/>
          <w:sz w:val="22"/>
          <w:szCs w:val="22"/>
        </w:rPr>
        <w:t xml:space="preserve">YOUTH ZONE Saved My LiFe</w:t>
      </w:r>
    </w:p>
    <w:p>
      <w:pPr>
        <w:pStyle w:val="ListParagraph"/>
        <w:numPr>
          <w:ilvl w:val="0"/>
          <w:numId w:val="2"/>
        </w:numPr>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None.</w:t>
      </w:r>
    </w:p>
    <w:p>
      <w:pPr>
        <w:pStyle w:val="ListParagraph"/>
        <w:numPr>
          <w:ilvl w:val="0"/>
          <w:numId w:val="2"/>
        </w:numPr>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pPr>
      <w:r>
        <w:rPr>
          <w:rFonts w:ascii="Calibri" w:cs="Calibri" w:eastAsia="Calibri" w:hAnsi="Calibri"/>
          <w:sz w:val="22"/>
          <w:szCs w:val="22"/>
        </w:rPr>
        <w:t xml:space="preserve">Good program</w:t>
      </w:r>
    </w:p>
    <w:p>
      <w:pPr>
        <w:pStyle w:val="ListParagraph"/>
        <w:numPr>
          <w:ilvl w:val="0"/>
          <w:numId w:val="2"/>
        </w:numPr>
      </w:pPr>
      <w:r>
        <w:rPr>
          <w:rFonts w:ascii="Calibri" w:cs="Calibri" w:eastAsia="Calibri" w:hAnsi="Calibri"/>
          <w:sz w:val="22"/>
          <w:szCs w:val="22"/>
        </w:rPr>
        <w:t xml:space="preserve">I need my drivers license</w:t>
      </w:r>
    </w:p>
    <w:p>
      <w:pPr>
        <w:pStyle w:val="ListParagraph"/>
        <w:numPr>
          <w:ilvl w:val="0"/>
          <w:numId w:val="2"/>
        </w:numPr>
      </w:pPr>
      <w:r>
        <w:rPr>
          <w:rFonts w:ascii="Calibri" w:cs="Calibri" w:eastAsia="Calibri" w:hAnsi="Calibri"/>
          <w:sz w:val="22"/>
          <w:szCs w:val="22"/>
        </w:rPr>
        <w:t xml:space="preserve">I value them so much</w:t>
      </w:r>
    </w:p>
    <w:p>
      <w:pPr>
        <w:pStyle w:val="ListParagraph"/>
        <w:numPr>
          <w:ilvl w:val="0"/>
          <w:numId w:val="2"/>
        </w:numPr>
      </w:pPr>
      <w:r>
        <w:rPr>
          <w:rFonts w:ascii="Calibri" w:cs="Calibri" w:eastAsia="Calibri" w:hAnsi="Calibri"/>
          <w:sz w:val="22"/>
          <w:szCs w:val="22"/>
        </w:rPr>
        <w:t xml:space="preserve">Nah I'm good thxs</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Thank you :)</w:t>
      </w:r>
    </w:p>
    <w:p>
      <w:pPr>
        <w:pStyle w:val="ListParagraph"/>
        <w:numPr>
          <w:ilvl w:val="0"/>
          <w:numId w:val="2"/>
        </w:numPr>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pPr>
      <w:r>
        <w:rPr>
          <w:rFonts w:ascii="Calibri" w:cs="Calibri" w:eastAsia="Calibri" w:hAnsi="Calibri"/>
          <w:sz w:val="22"/>
          <w:szCs w:val="22"/>
        </w:rPr>
        <w:t xml:space="preserve">Thank you</w:t>
      </w:r>
    </w:p>
    <w:p>
      <w:pPr>
        <w:pStyle w:val="ListParagraph"/>
        <w:numPr>
          <w:ilvl w:val="0"/>
          <w:numId w:val="2"/>
        </w:numPr>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pPr>
      <w:r>
        <w:rPr>
          <w:rFonts w:ascii="Calibri" w:cs="Calibri" w:eastAsia="Calibri" w:hAnsi="Calibri"/>
          <w:sz w:val="22"/>
          <w:szCs w:val="22"/>
        </w:rPr>
        <w:t xml:space="preserve">They are all amazing</w:t>
      </w:r>
    </w:p>
    <w:p>
      <w:pPr>
        <w:pStyle w:val="ListParagraph"/>
        <w:numPr>
          <w:ilvl w:val="0"/>
          <w:numId w:val="2"/>
        </w:numPr>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pPr>
      <w:r>
        <w:rPr>
          <w:rFonts w:ascii="Calibri" w:cs="Calibri" w:eastAsia="Calibri" w:hAnsi="Calibri"/>
          <w:sz w:val="22"/>
          <w:szCs w:val="22"/>
        </w:rPr>
        <w:t xml:space="preserve">My youth coach is always too busy and doesn't make enough time for me</w:t>
      </w:r>
    </w:p>
    <w:p>
      <w:pPr>
        <w:pStyle w:val="ListParagraph"/>
        <w:numPr>
          <w:ilvl w:val="0"/>
          <w:numId w:val="2"/>
        </w:numPr>
      </w:pPr>
      <w:r>
        <w:rPr>
          <w:rFonts w:ascii="Calibri" w:cs="Calibri" w:eastAsia="Calibri" w:hAnsi="Calibri"/>
          <w:sz w:val="22"/>
          <w:szCs w:val="22"/>
        </w:rPr>
        <w:t xml:space="preserve">Give my youth coach a raise! He's amazing!</w:t>
      </w:r>
    </w:p>
    <w:p>
      <w:pPr>
        <w:pStyle w:val="ListParagraph"/>
        <w:numPr>
          <w:ilvl w:val="0"/>
          <w:numId w:val="2"/>
        </w:numPr>
      </w:pPr>
      <w:r>
        <w:rPr>
          <w:rFonts w:ascii="Calibri" w:cs="Calibri" w:eastAsia="Calibri" w:hAnsi="Calibri"/>
          <w:sz w:val="22"/>
          <w:szCs w:val="22"/>
        </w:rPr>
        <w:t xml:space="preserve">Appreciated a lot of things I wish I can stay in longer than 24</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w:t>
      </w:r>
    </w:p>
    <w:p>
      <w:pPr>
        <w:pStyle w:val="ListParagraph"/>
        <w:numPr>
          <w:ilvl w:val="0"/>
          <w:numId w:val="2"/>
        </w:numPr>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6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6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2443b1825b267d4c020142f7b07f8e570ddf4d2.png"/><Relationship Id="rId8" Type="http://schemas.openxmlformats.org/officeDocument/2006/relationships/image" Target="media/e4d16cfcf45f0a58e6539d34d04c832778f742c1.png"/><Relationship Id="rId9" Type="http://schemas.openxmlformats.org/officeDocument/2006/relationships/image" Target="media/b41bf929ef00b99e210f58c1252b2c751e398f1b.png"/><Relationship Id="rId10" Type="http://schemas.openxmlformats.org/officeDocument/2006/relationships/image" Target="media/c43c526df6170725eab10d36bf867cd346c93ebd.png"/><Relationship Id="rId11" Type="http://schemas.openxmlformats.org/officeDocument/2006/relationships/image" Target="media/c0ab2004697975376852146dd442e909980894fd.png"/><Relationship Id="rId12" Type="http://schemas.openxmlformats.org/officeDocument/2006/relationships/image" Target="media/e9e3ff1b8c85fe74bbb49d0dbe0e7dc6b368ed8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2026-04-07T23:31:52.951Z</dcterms:created>
  <dcterms:modified xsi:type="dcterms:W3CDTF">2026-04-07T23:31:52.951Z</dcterms:modified>
</cp:coreProperties>
</file>

<file path=docProps/custom.xml><?xml version="1.0" encoding="utf-8"?>
<Properties xmlns="http://schemas.openxmlformats.org/officeDocument/2006/custom-properties" xmlns:vt="http://schemas.openxmlformats.org/officeDocument/2006/docPropsVTypes"/>
</file>