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March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sz w:val="22"/>
          <w:szCs w:val="22"/>
        </w:rPr>
        <w:t xml:space="preserve">840</w:t>
      </w:r>
      <w:r>
        <w:rPr>
          <w:rFonts w:ascii="Calibri" w:cs="Calibri" w:eastAsia="Calibri" w:hAnsi="Calibri"/>
          <w:sz w:val="22"/>
          <w:szCs w:val="22"/>
        </w:rPr>
        <w:t xml:space="preserve"> total active) responded to the survey, for a response rate of </w:t>
      </w:r>
      <w:r>
        <w:rPr>
          <w:rFonts w:ascii="Calibri" w:cs="Calibri" w:eastAsia="Calibri" w:hAnsi="Calibri"/>
          <w:sz w:val="22"/>
          <w:szCs w:val="22"/>
        </w:rPr>
        <w:t xml:space="preserve">24%</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gridCol w:w="100"/>
        <w:gridCol w:w="100"/>
        <w:gridCol w:w="100"/>
      </w:tblGrid>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Housing Status</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 w/ Family/Friends</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Homeless shelter</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Couch surfing</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In a car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Outside</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Abandoned building</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Other</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and stable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136</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cannot stay 90 days</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stay, but not safe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place to stay</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193</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(n=6) included a medical reason, voluntarily choosing to leave, never having held a formal lease, placement in a group home, and general life circumstances.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whether they are attending school, working, or looking for work.</w:t>
      </w:r>
    </w:p>
    <w:p>
      <w:pPr>
        <w:pStyle w:val="ListParagraph"/>
        <w:numPr>
          <w:ilvl w:val="0"/>
          <w:numId w:val="2"/>
        </w:numPr>
        <w:spacing w:after="240" w:before="240" w:line="240"/>
      </w:pPr>
      <w:r>
        <w:rPr>
          <w:rFonts w:ascii="Calibri" w:cs="Calibri" w:eastAsia="Calibri" w:hAnsi="Calibri"/>
          <w:sz w:val="22"/>
          <w:szCs w:val="22"/>
        </w:rPr>
        <w:t xml:space="preserve">This year, enrollment and employment rates were nearly equal — 46% enrolled in school, 46% employed — compared to 53% enrolled and 44% employed in March 2025.</w:t>
      </w:r>
    </w:p>
    <w:p>
      <w:pPr>
        <w:pStyle w:val="ListParagraph"/>
        <w:numPr>
          <w:ilvl w:val="0"/>
          <w:numId w:val="2"/>
        </w:numPr>
        <w:spacing w:after="240" w:before="240" w:line="240"/>
      </w:pPr>
      <w:r>
        <w:rPr>
          <w:rFonts w:ascii="Calibri" w:cs="Calibri" w:eastAsia="Calibri" w:hAnsi="Calibri"/>
          <w:sz w:val="22"/>
          <w:szCs w:val="22"/>
        </w:rPr>
        <w:t xml:space="preserve">Among youth who are neither in school nor employed (22% of all respondents, down from 26% last year), job-seeking rates were high: 82% reported actively looking for work, up significantly from 68% last year. 7 of these 44 youth had not completed high school or a GED.</w:t>
      </w:r>
    </w:p>
    <w:p>
      <w:pPr>
        <w:pStyle w:val="ListParagraph"/>
        <w:numPr>
          <w:ilvl w:val="0"/>
          <w:numId w:val="2"/>
        </w:numPr>
        <w:spacing w:after="240" w:before="240" w:line="240"/>
      </w:pPr>
      <w:r>
        <w:rPr>
          <w:rFonts w:ascii="Calibri" w:cs="Calibri" w:eastAsia="Calibri" w:hAnsi="Calibri"/>
          <w:sz w:val="22"/>
          <w:szCs w:val="22"/>
        </w:rPr>
        <w:t xml:space="preserve">Job-seeking was also common among youth in school but not working: 73% reported looking for a job, down slightly from 78% last year.</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pStyle w:val="Normal"/>
        <w:spacing w:after="240" w:before="240" w:line="240"/>
      </w:pPr>
      <w:r>
        <w:rPr>
          <w:rFonts w:ascii="Calibri" w:cs="Calibri" w:eastAsia="Calibri" w:hAnsi="Calibri"/>
          <w:b w:val="false"/>
          <w:bCs w:val="false"/>
          <w:sz w:val="22"/>
          <w:szCs w:val="22"/>
        </w:rPr>
        <w:t xml:space="preserve">When excluding the 42 youth enrolled in high school, 89% of respondents have their high school diploma or GED, up from 85% in March 2025. 26% of respondents are currently enrolled in higher education or have already received a college degree or certificate, up notably from 18% last year — driven largely by a higher share of enrolled respondents being in college or vocational programs this year compared to last.</w:t>
      </w:r>
    </w:p>
    <w:p>
      <w:pPr>
        <w:pStyle w:val="Caption"/>
      </w:pPr>
      <w:r>
        <w:rPr>
          <w:rFonts w:ascii="Calibri" w:cs="Calibri" w:eastAsia="Calibri" w:hAnsi="Calibri"/>
          <w:b/>
          <w:bCs/>
          <w:sz w:val="22"/>
          <w:szCs w:val="22"/>
        </w:rPr>
        <w:t xml:space="preserve">Educational Enrollment and Attainment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Group</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Level</w:t>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Count</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Currently Enrolled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Currently Enrolled</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94</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49%</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Graduate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College/Vocational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GED Program</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22%</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Not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Not in School</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97</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 Degree or Certificate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College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HS Diploma or GED</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36%</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191</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100%</w:t>
            </w:r>
          </w:p>
        </w:tc>
      </w:tr>
    </w:tbl>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r>
    </w:tbl>
    <w:p>
      <w:pPr>
        <w:spacing w:after="120"/>
        <w:jc w:val="center"/>
      </w:pPr>
      <w:r>
        <w:drawing>
          <wp:inline distT="0" distB="0" distL="0" distR="0">
            <wp:extent cx="50292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4765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43% of youth who described at least one job barrier, was transportation issues, followed closely by applying and not getting called (41%) and limited work experience (37%). Both transportation issues and applying and not getting called were reported more often than in March 2025, when those barriers stood at 32% and 28%, respectively. Mental or physical health was cited by 24%; 21 of the 24 youth reporting that barrier were ages 18 to 23.</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Youth with Barriers (N = 102)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finding a better job and quitting were tied as the most common reasons youth reported leaving a job, each cited by 33% of youth who reported at least one reason for leaving. 27% said the job was seasonal or temporary. Among the youth who quit, the most common specific reasons were low pay or not enough hours (9%) and mental or emotional health (8%), followed by personal or family reasons (7%).</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Who Left a Job (N = 86)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Illness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2"/>
      </w:pPr>
      <w:r>
        <w:t xml:space="preserve">Employment Barriers and Job Loss by Demographic Group</w:t>
      </w:r>
    </w:p>
    <w:p>
      <w:pPr>
        <w:pStyle w:val="Normal"/>
        <w:spacing w:after="240" w:before="240" w:line="240"/>
      </w:pPr>
      <w:r>
        <w:rPr>
          <w:rFonts w:ascii="Calibri" w:cs="Calibri" w:eastAsia="Calibri" w:hAnsi="Calibri"/>
          <w:b w:val="false"/>
          <w:bCs w:val="false"/>
          <w:sz w:val="22"/>
          <w:szCs w:val="22"/>
        </w:rPr>
        <w:t xml:space="preserve">Examining job barriers and job loss by gender, race/ethnicity, and sexual orientation reveals that overall rates are broadly consistent across groups, though one specific barrier shows wider variation. Because group sizes vary considerably, rates for smaller groups — particularly Trans/Non-binary/GNC respondents (n=20) — should be interpreted with caution.</w:t>
      </w:r>
    </w:p>
    <w:p>
      <w:pPr>
        <w:pStyle w:val="Normal"/>
        <w:spacing w:after="240" w:before="240" w:line="240"/>
      </w:pPr>
      <w:r>
        <w:rPr>
          <w:rFonts w:ascii="Calibri" w:cs="Calibri" w:eastAsia="Calibri" w:hAnsi="Calibri"/>
          <w:b w:val="false"/>
          <w:bCs w:val="false"/>
          <w:sz w:val="22"/>
          <w:szCs w:val="22"/>
        </w:rPr>
        <w:t xml:space="preserve">The share of youth reporting any job barrier ranged from 49% to 60% across the demographic groups shown, with no group standing out for overall barrier prevalence. Rates of leaving a job were somewhat elevated for Black respondents (48%) and LGBTQ+ respondents (49%) compared to the overall rate of 42%. The clearest disparity was in mental or physical health cited as a barrier: reported by 35% of Trans/Non-binary/GNC youth and 25% of White youth, compared to 5% of Black youth and 3% of male youth. Full per-barrier and per-reason breakouts by demographic group are available in the analysis workbook (sheets q10_barriers_equity and q11_reasons_equity).</w:t>
      </w:r>
    </w:p>
    <w:p>
      <w:pPr>
        <w:pStyle w:val="Caption"/>
      </w:pPr>
      <w:r>
        <w:rPr>
          <w:rFonts w:ascii="Calibri" w:cs="Calibri" w:eastAsia="Calibri" w:hAnsi="Calibri"/>
          <w:b/>
          <w:bCs/>
          <w:sz w:val="22"/>
          <w:szCs w:val="22"/>
        </w:rPr>
        <w:t xml:space="preserve">Job Barriers and Job Loss by Demographic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Demographic Group</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Q10 Had Barrier (%)</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Q11 Left Job (%)</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Overall</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50%</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42%</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Gender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Trans/Non-binary/GNC</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LGBTQ+</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bl>
    <w:p>
      <w:pPr>
        <w:pStyle w:val="Normal"/>
        <w:spacing w:after="240" w:before="240" w:line="240"/>
      </w:pPr>
      <w:r>
        <w:rPr>
          <w:rFonts w:ascii="Calibri" w:cs="Calibri" w:eastAsia="Calibri" w:hAnsi="Calibri"/>
          <w:b w:val="false"/>
          <w:bCs w:val="false"/>
          <w:sz w:val="22"/>
          <w:szCs w:val="22"/>
        </w:rPr>
        <w:t xml:space="preserve">Note: Percentages are shares of each demographic group. Race uses a counted-once approach (respondents identifying with two or more groups are counted as Multiracial). Respondents who did not report gender, race, or orientation are excluded from their respective group comparisons. Trans/Non-binary/GNC n=20; interpret rates for this group with caution.</w:t>
      </w:r>
    </w:p>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p>
      <w:pPr>
        <w:spacing w:after="120"/>
        <w:jc w:val="center"/>
      </w:pPr>
      <w:r>
        <w:drawing>
          <wp:inline distT="0" distB="0" distL="0" distR="0">
            <wp:extent cx="50292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14725"/>
                    </a:xfrm>
                    <a:prstGeom prst="rect">
                      <a:avLst/>
                    </a:prstGeom>
                  </pic:spPr>
                </pic:pic>
              </a:graphicData>
            </a:graphic>
          </wp:inline>
        </w:drawing>
      </w:r>
    </w:p>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Registration rates also varied by gender, with 67% of female youth registered compared with 55% of male youth and 63% of transgender and non-binary youth. By sexual orientation, registration rates were similar at 63% for LGBTQ+ youth and 60% for heterosexual youth.</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Has not completed registration process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Eligibility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Not interested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Unsure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189</w:t>
            </w:r>
          </w:p>
        </w:tc>
      </w:tr>
    </w:tbl>
    <w:p>
      <w:pPr>
        <w:spacing w:after="120"/>
        <w:jc w:val="center"/>
      </w:pPr>
      <w:r>
        <w:drawing>
          <wp:inline distT="0" distB="0" distL="0" distR="0">
            <wp:extent cx="5029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27908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77% of respondents fully agreed that support from the Youth Zone helps them stay focused on their goals, up from 71% in February 2025. As in the prior report, there appears to be a mild correlation between attendance at the Zone and youth reporting that the Youth Zone helps them stay focused on their goals: 96% of youth who report attending the Zone at least monthly agree or somewhat agree, compared to 85% of youth who report attending less than monthly or never. Youth who attend less frequently are also more likely to report not having clear goals right now (9% vs. 0%).</w:t>
      </w:r>
    </w:p>
    <w:p>
      <w:pPr>
        <w:spacing w:after="120"/>
        <w:jc w:val="center"/>
      </w:pPr>
      <w:r>
        <w:drawing>
          <wp:inline distT="0" distB="0" distL="0" distR="0">
            <wp:extent cx="60388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34671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spacing w:after="120"/>
        <w:jc w:val="center"/>
      </w:pPr>
      <w:r>
        <w:drawing>
          <wp:inline distT="0" distB="0" distL="0" distR="0">
            <wp:extent cx="64960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96050" cy="35718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(34%), followed closely by an invitation from their Youth Coach (30%) and knowing more about activities (27%).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or distance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Work or school schedule conflicts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Environment or social comfort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Specific service or support need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Unclear or unspecified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most often reported that their coaches and the Zone helped them think about their future. Among respondents with known ages who answered this question, 66% selected that item, followed by figuring out how to handle problems (48%). About four in ten also reported help obtaining vital documents (41%), making good decisions (39%), finding or maintaining housing (39%), and establishing positive relationships (38%).</w:t>
      </w:r>
    </w:p>
    <w:p>
      <w:pPr>
        <w:pStyle w:val="Normal"/>
        <w:spacing w:after="240" w:before="240" w:line="240"/>
      </w:pPr>
      <w:r>
        <w:rPr>
          <w:rFonts w:ascii="Calibri" w:cs="Calibri" w:eastAsia="Calibri" w:hAnsi="Calibri"/>
          <w:b w:val="false"/>
          <w:bCs w:val="false"/>
          <w:sz w:val="22"/>
          <w:szCs w:val="22"/>
        </w:rPr>
        <w:t xml:space="preserve">Coaches also frequently provided concrete assistance by helping youth obtain vital documents, secure driver’s licenses, access health care or counseling, and find or maintain housing. These supports were generally reported more often by older youth, particularly help with housing (43% of respondents ages 21 to 23, compared with 38% of ages 18 to 20 and 25% of ages 16 to 17), while younger youth were more likely to report help obtaining vital documents or getting a driver’s license (50% and 50%, respectively, among ages 16 to 17).</w:t>
      </w:r>
    </w:p>
    <w:p>
      <w:pPr>
        <w:pStyle w:val="Normal"/>
        <w:spacing w:after="240" w:before="240" w:line="240"/>
      </w:pPr>
      <w:r>
        <w:rPr>
          <w:rFonts w:ascii="Calibri" w:cs="Calibri" w:eastAsia="Calibri" w:hAnsi="Calibri"/>
          <w:b w:val="false"/>
          <w:bCs w:val="false"/>
          <w:sz w:val="22"/>
          <w:szCs w:val="22"/>
        </w:rPr>
        <w:t xml:space="preserve">80% of respondents indicated progress supported by the Zone in at least one area, and 64% reported support in two or more areas. Of the 40 youth who did not select an area in Q17, 3 wrote comments suggesting they had just joined the program or had limited opportunity to connect with their coach.</w:t>
      </w:r>
    </w:p>
    <w:p>
      <w:pPr>
        <w:spacing w:after="120"/>
        <w:jc w:val="center"/>
      </w:pPr>
      <w:r>
        <w:drawing>
          <wp:inline distT="0" distB="0" distL="0" distR="0">
            <wp:extent cx="676275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62750" cy="34956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Although the number of youth reporting that they rarely or never felt respected and accepted was small, some disparities were apparent beyond age. Among youth who responded to the respect questions, 20% of Trans/Non-binary/GNC youth reported rarely or never feeling respected and accepted by staff or peers, compared with 9% of female youth and 3% of male youth. By sexual orientation, 11% of LGBTQ+ youth reported rarely or never feeling respected and accepted, compared with 7% of heterosexual youth. These patterns are consistent with the disparities noted in the Employment Barriers and Job Loss by Demographic Group section, where Trans/Non-binary/GNC youth also stood out on selected indicators, though all subgroup findings should be interpreted with caution given the small number of respondents.</w:t>
      </w:r>
    </w:p>
    <w:p>
      <w:pPr>
        <w:spacing w:after="120"/>
        <w:jc w:val="center"/>
      </w:pPr>
      <w:r>
        <w:drawing>
          <wp:inline distT="0" distB="0" distL="0" distR="0">
            <wp:extent cx="60388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8850" cy="3276600"/>
                    </a:xfrm>
                    <a:prstGeom prst="rect">
                      <a:avLst/>
                    </a:prstGeom>
                  </pic:spPr>
                </pic:pic>
              </a:graphicData>
            </a:graphic>
          </wp:inline>
        </w:drawing>
      </w:r>
    </w:p>
    <w:p>
      <w:pPr>
        <w:pStyle w:val="Caption"/>
      </w:pPr>
      <w:r>
        <w:rPr>
          <w:rFonts w:ascii="Calibri" w:cs="Calibri" w:eastAsia="Calibri" w:hAnsi="Calibri"/>
          <w:b/>
          <w:bCs/>
          <w:sz w:val="22"/>
          <w:szCs w:val="22"/>
        </w:rPr>
        <w:t xml:space="preserve">Responses: n=176 for staff and n=173 for peers. Labels under 3% omitted: Staff rarely 2%; Staff never 1%; Peers never 2%.</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Normal"/>
        <w:spacing w:after="240" w:before="240" w:line="240"/>
      </w:pPr>
      <w:r>
        <w:rPr>
          <w:rFonts w:ascii="Calibri" w:cs="Calibri" w:eastAsia="Calibri" w:hAnsi="Calibri"/>
          <w:b w:val="false"/>
          <w:bCs w:val="false"/>
          <w:sz w:val="22"/>
          <w:szCs w:val="22"/>
        </w:rPr>
        <w:t xml:space="preserve">Responses to these items were broadly positive. The strongest ratings were for being treated fairly (85%) and for diversity of backgrounds being valued (84%), while feeling that people around them care about their success was the lowest-rated item, though it was still selected by nearly three-quarters of respondents (74%). Overall, each of the five environment measures received top-2 ratings from at least 74% of youth who answered that item.</w:t>
      </w:r>
    </w:p>
    <w:p>
      <w:pPr>
        <w:spacing w:after="120"/>
        <w:jc w:val="center"/>
      </w:pPr>
      <w:r>
        <w:drawing>
          <wp:inline distT="0" distB="0" distL="0" distR="0">
            <wp:extent cx="64960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96050" cy="4229100"/>
                    </a:xfrm>
                    <a:prstGeom prst="rect">
                      <a:avLst/>
                    </a:prstGeom>
                  </pic:spPr>
                </pic:pic>
              </a:graphicData>
            </a:graphic>
          </wp:inline>
        </w:drawing>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dxa" w:w="895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4200"/>
            <w:gridSpan w:val="4"/>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Age</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16-17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18-20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21-23 years old</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Unknown</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Total</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Total</w:t>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Number of Youth</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88</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72</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26</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204</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w:r>
          </w:p>
        </w:tc>
      </w:tr>
      <w:tr>
        <w:tc>
          <w:tcPr>
            <w:tcW w:type="dxa" w:w="31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Currently have a bank account:</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11</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65</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54</w:t>
            </w:r>
          </w:p>
        </w:tc>
        <w:tc>
          <w:tcPr>
            <w:tcW w:type="dxa" w:w="105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w:t>
            </w:r>
          </w:p>
        </w:tc>
        <w:tc>
          <w:tcPr>
            <w:tcW w:type="dxa" w:w="80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134</w:t>
            </w:r>
          </w:p>
        </w:tc>
        <w:tc>
          <w:tcPr>
            <w:tcW w:type="dxa" w:w="80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66%</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ind w:left="240"/>
              <w:jc w:val="left"/>
            </w:pPr>
            <w:r>
              <w:rPr>
                <w:rFonts w:ascii="Calibri" w:cs="Calibri" w:eastAsia="Calibri" w:hAnsi="Calibri"/>
                <w:b w:val="false"/>
                <w:bCs w:val="false"/>
                <w:sz w:val="22"/>
                <w:szCs w:val="22"/>
                <w:u w:val="none"/>
              </w:rPr>
              <w:t xml:space="preserve">Checking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64</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53</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131</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64%</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ind w:left="240"/>
              <w:jc w:val="left"/>
            </w:pPr>
            <w:r>
              <w:rPr>
                <w:rFonts w:ascii="Calibri" w:cs="Calibri" w:eastAsia="Calibri" w:hAnsi="Calibri"/>
                <w:b w:val="false"/>
                <w:bCs w:val="false"/>
                <w:sz w:val="22"/>
                <w:szCs w:val="22"/>
                <w:u w:val="none"/>
              </w:rPr>
              <w:t xml:space="preserve">Savings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32</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83</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Had an account in the past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12</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Never had an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18</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30</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dxa" w:w="895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4200"/>
            <w:gridSpan w:val="4"/>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Age</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16-17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18-20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21-23 years old</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Unknown</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Total</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Venmo, Zelle, CashApp, etc.</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45</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108</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53%</w:t>
            </w:r>
          </w:p>
        </w:tc>
      </w:tr>
      <w:tr>
        <w:tc>
          <w:tcPr>
            <w:tcW w:type="dxa" w:w="31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Bank account</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50</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45</w:t>
            </w:r>
          </w:p>
        </w:tc>
        <w:tc>
          <w:tcPr>
            <w:tcW w:type="dxa" w:w="105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w:t>
            </w:r>
          </w:p>
        </w:tc>
        <w:tc>
          <w:tcPr>
            <w:tcW w:type="dxa" w:w="80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106</w:t>
            </w:r>
          </w:p>
        </w:tc>
        <w:tc>
          <w:tcPr>
            <w:tcW w:type="dxa" w:w="80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52%</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Saving/storing cash at home</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40</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20%</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PayPal</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14</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24</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12%</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Check cashing service (ex. ACE)</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Other</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Money Order</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b5ff228226b78e8d935e02a5dc6f0186aa5a8.png"/><Relationship Id="rId8" Type="http://schemas.openxmlformats.org/officeDocument/2006/relationships/image" Target="media/4459b720d5e04bd60a9889e0de2ec0eaa8c09b40.png"/><Relationship Id="rId9" Type="http://schemas.openxmlformats.org/officeDocument/2006/relationships/image" Target="media/3c5ca89e55575772ac4b37b946867c0504716169.png"/><Relationship Id="rId10" Type="http://schemas.openxmlformats.org/officeDocument/2006/relationships/image" Target="media/fe71e704be4f485a6f9a7ae977205a45830ff676.png"/><Relationship Id="rId11" Type="http://schemas.openxmlformats.org/officeDocument/2006/relationships/image" Target="media/788fd7d9fb5029edd99a816df5fdb26ac97b364a.png"/><Relationship Id="rId12" Type="http://schemas.openxmlformats.org/officeDocument/2006/relationships/image" Target="media/6bea08bf7f9af5c571e89453504e6e3f518469f5.png"/><Relationship Id="rId13" Type="http://schemas.openxmlformats.org/officeDocument/2006/relationships/image" Target="media/7b849a42204ae9078e4fd2a8c01a141fd5bcb3cf.png"/><Relationship Id="rId14" Type="http://schemas.openxmlformats.org/officeDocument/2006/relationships/image" Target="media/f0ede90c8f85df99fb4c12383263bc0cf931568c.png"/><Relationship Id="rId15" Type="http://schemas.openxmlformats.org/officeDocument/2006/relationships/image" Target="media/0317b1c52e84da793edf786bb77d8d2e307e7290.png"/><Relationship Id="rId16" Type="http://schemas.openxmlformats.org/officeDocument/2006/relationships/image" Target="media/cf9685ced7c92baa9ca97c0ac2e54bf845368700.png"/><Relationship Id="rId17" Type="http://schemas.openxmlformats.org/officeDocument/2006/relationships/image" Target="media/a3493061478ccd04901bab6779868494ccfd89e2.png"/><Relationship Id="rId18" Type="http://schemas.openxmlformats.org/officeDocument/2006/relationships/image" Target="media/78776d2619f511f59f42821dbff5bf4e43010d4f.png"/><Relationship Id="rId19" Type="http://schemas.openxmlformats.org/officeDocument/2006/relationships/image" Target="media/6cba4f538ea0fd17f4f1e959ba189c260e439784.png"/><Relationship Id="rId20" Type="http://schemas.openxmlformats.org/officeDocument/2006/relationships/image" Target="media/9ccb56138d455440b38001fa07ee6f7cf0591c5b.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2026-04-10T15:46:19.300Z</dcterms:created>
  <dcterms:modified xsi:type="dcterms:W3CDTF">2026-04-10T15:46:19.301Z</dcterms:modified>
</cp:coreProperties>
</file>

<file path=docProps/custom.xml><?xml version="1.0" encoding="utf-8"?>
<Properties xmlns="http://schemas.openxmlformats.org/officeDocument/2006/custom-properties" xmlns:vt="http://schemas.openxmlformats.org/officeDocument/2006/docPropsVTypes"/>
</file>