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Twenty-one transgender and non-binary youth also responded to the survey (12%), up from 12 youth (7%) in 2025. As represented in the table below, youth of all genders selected a variety of terms to describe their sexual orientation. Young women were more likely than their male peers to identify as LGBTQ (38% v. 21%), and 38% of respondents identified as LGBTQ in some way.</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Just over half of survey respondents identified as Black when each youth was counted once, while 28% identified as White, 17% as Multiracial, and 3% reported another single racial identity. When full or partial identities are counted using the unique respondent total, 62% of youth identified as Black, 31% as White, 11% as Multiracial, and 6% as Hispanic or Latinx. This marks a change from the prior year, when 66% of respondents identified as Black either fully or partially. White identification increased from 27% to 31%, while Multiracial identification remained steady at 11% and Hispanic or Latinx identification rose from 4% to 6%.</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 both consistent with February 2025. However, ratings for coach availability and reliability declined more notably this year: “Is available to me when I need them” fell 8 percentage points to 80%, and “Is reliable” fell 5 percentage points to 84%, the lowest ratings recorded for those items across all survey cycles shown in the table below.</w:t>
      </w:r>
    </w:p>
    <w:p>
      <w:pPr>
        <w:pStyle w:val="Normal"/>
        <w:spacing w:after="240" w:before="240" w:line="240"/>
      </w:pPr>
      <w:r>
        <w:rPr>
          <w:rFonts w:ascii="Calibri" w:cs="Calibri" w:eastAsia="Calibri" w:hAnsi="Calibri"/>
          <w:b w:val="false"/>
          <w:bCs w:val="false"/>
          <w:sz w:val="22"/>
          <w:szCs w:val="22"/>
        </w:rPr>
        <w:t xml:space="preserve">Among the responses where youth did not rate their coaches in the top two categories, most scores indicated their coach Sometimes exhibits the listed characteristic; the availability and reliability items drew the most non-top-2 responses, consistent with the declines noted above. A small number of youth said their coach Rarely or Never exhibits one or more of these qualities.</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n=204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240030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spacing w:after="120"/>
        <w:jc w:val="center"/>
      </w:pPr>
      <w:r>
        <w:drawing>
          <wp:inline distT="0" distB="0" distL="0" distR="0">
            <wp:extent cx="41148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13239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Among youth who rated communication a Good amount, nearly half communicated 1–2 times per month (49%), about a third connected with their coach about once a week (37%), and 9% communicated almost every day.</w:t>
      </w:r>
    </w:p>
    <w:p>
      <w:pPr>
        <w:pStyle w:val="Normal"/>
        <w:spacing w:after="240" w:before="240" w:line="240"/>
      </w:pPr>
      <w:r>
        <w:rPr>
          <w:rFonts w:ascii="Calibri" w:cs="Calibri" w:eastAsia="Calibri" w:hAnsi="Calibri"/>
          <w:b w:val="false"/>
          <w:bCs w:val="false"/>
          <w:sz w:val="22"/>
          <w:szCs w:val="22"/>
        </w:rPr>
        <w:t xml:space="preserve">Most of the Count youth who reported Not Enough communicated with their coach 1–2 times per month (12 youth) or less than once a month (10 youth); 2 youth reported about once a week.</w:t>
      </w:r>
    </w:p>
    <w:p>
      <w:pPr>
        <w:spacing w:after="120"/>
        <w:jc w:val="center"/>
      </w:pPr>
      <w:r>
        <w:drawing>
          <wp:inline distT="0" distB="0" distL="0" distR="0">
            <wp:extent cx="41148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1657350"/>
                    </a:xfrm>
                    <a:prstGeom prst="rect">
                      <a:avLst/>
                    </a:prstGeom>
                  </pic:spPr>
                </pic:pic>
              </a:graphicData>
            </a:graphic>
          </wp:inline>
        </w:drawing>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the next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a decrease of approximately 10 percentage points from 2025. Among unstably housed youth, staying with family or friends was the most commonly reported current sleeping arrangement, followed by couch surfing.</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r>
    </w:tbl>
    <w:p>
      <w:pPr>
        <w:pStyle w:val="Normal"/>
        <w:spacing w:after="240" w:before="240" w:line="240"/>
      </w:pPr>
      <w:r>
        <w:rPr>
          <w:rFonts w:ascii="Calibri" w:cs="Calibri" w:eastAsia="Calibri" w:hAnsi="Calibri"/>
          <w:b w:val="false"/>
          <w:bCs w:val="false"/>
          <w:sz w:val="22"/>
          <w:szCs w:val="22"/>
        </w:rPr>
        <w:t xml:space="preserve">Current housing status varied by age group, as shown in the chart below.</w:t>
      </w:r>
    </w:p>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Youth ages 16–17 reported stable housing at a notably higher rate (89%) than respondents ages 18–20 and 21–23 (70% and 67%, respectively). Among 18–20 year olds, “no place to stay” was the most prevalent unstable category (17%). Youth ages 21–23 were more likely than other groups to report housing they could stay in but considered unsafe (7%).</w:t>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share why. The table below displays the answers by age. The most common reasons youth experienced housing instability were that family or friends could no longer let them stay (49%) and feeling unsafe at home (39%), consistent with the pattern seen in the prior year. Among youth ages 21–23, feeling unsafe was the leading reason cited, while among 18–20 year olds, family or friends being unavailable was the more predominant reason.</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Normal"/>
        <w:spacing w:after="240" w:before="240" w:line="240"/>
      </w:pPr>
      <w:r>
        <w:rPr>
          <w:rFonts w:ascii="Calibri" w:cs="Calibri" w:eastAsia="Calibri" w:hAnsi="Calibri"/>
          <w:b w:val="false"/>
          <w:bCs w:val="false"/>
          <w:sz w:val="22"/>
          <w:szCs w:val="22"/>
        </w:rPr>
        <w:t xml:space="preserve">Note: ‘Other’ responses (n=15) included lease expiration or rent increases, unsafe or inadequate housing conditions (e.g., landlord issues, maintenance failures, pest infestation), and domestic or family safety concerns.</w:t>
      </w:r>
    </w:p>
    <w:p>
      <w:pPr>
        <w:pStyle w:val="Heading1"/>
      </w:pPr>
      <w:r>
        <w:t xml:space="preserve">Employment and Education</w:t>
      </w:r>
    </w:p>
    <w:p>
      <w:pPr>
        <w:pStyle w:val="Normal"/>
        <w:spacing w:after="240" w:before="240" w:line="240"/>
      </w:pPr>
      <w:r>
        <w:rPr>
          <w:rFonts w:ascii="Calibri" w:cs="Calibri" w:eastAsia="Calibri" w:hAnsi="Calibri"/>
          <w:b w:val="false"/>
          <w:bCs w:val="false"/>
          <w:sz w:val="22"/>
          <w:szCs w:val="22"/>
        </w:rPr>
        <w:t xml:space="preserve">Youth were asked to report on whether they are attending school, working, and, if not working, trying to find a job. This year:</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enrolled in school, down from 53% in March 2025</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spacing w:after="240" w:before="240" w:line="240"/>
      </w:pPr>
      <w:r>
        <w:rPr>
          <w:rFonts w:ascii="Calibri" w:cs="Calibri" w:eastAsia="Calibri" w:hAnsi="Calibri"/>
          <w:sz w:val="22"/>
          <w:szCs w:val="22"/>
        </w:rPr>
        <w:t xml:space="preserve">73% of respondents who are in school and unemployed are looking for a job, down from 78% in March 2025</w:t>
      </w:r>
    </w:p>
    <w:p>
      <w:pPr>
        <w:pStyle w:val="ListParagraph"/>
        <w:numPr>
          <w:ilvl w:val="0"/>
          <w:numId w:val="2"/>
        </w:numPr>
        <w:spacing w:after="240" w:before="240" w:line="240"/>
      </w:pPr>
      <w:r>
        <w:rPr>
          <w:rFonts w:ascii="Calibri" w:cs="Calibri" w:eastAsia="Calibri" w:hAnsi="Calibri"/>
          <w:sz w:val="22"/>
          <w:szCs w:val="22"/>
        </w:rPr>
        <w:t xml:space="preserve">82% of respondents who are not in school and unemployed are looking for a job, up from 68% in March 2025</w:t>
      </w:r>
    </w:p>
    <w:p>
      <w:pPr>
        <w:pStyle w:val="ListParagraph"/>
        <w:numPr>
          <w:ilvl w:val="0"/>
          <w:numId w:val="2"/>
        </w:numPr>
        <w:spacing w:after="240" w:before="240" w:line="240"/>
      </w:pPr>
      <w:r>
        <w:rPr>
          <w:rFonts w:ascii="Calibri" w:cs="Calibri" w:eastAsia="Calibri" w:hAnsi="Calibri"/>
          <w:sz w:val="22"/>
          <w:szCs w:val="22"/>
        </w:rPr>
        <w:t xml:space="preserve">22% of respondents are both not in school and unemployed, down from 26% last year; 7 of these 44 youth report not completing high school or a GED. Most of this group (82%) reported looking for work.</w:t>
      </w:r>
    </w:p>
    <w:p>
      <w:pPr>
        <w:pStyle w:val="Normal"/>
        <w:spacing w:after="240" w:before="240" w:line="240"/>
      </w:pPr>
      <w:r>
        <w:rPr>
          <w:rFonts w:ascii="Calibri" w:cs="Calibri" w:eastAsia="Calibri" w:hAnsi="Calibri"/>
          <w:b w:val="false"/>
          <w:bCs w:val="false"/>
          <w:sz w:val="22"/>
          <w:szCs w:val="22"/>
        </w:rPr>
        <w:t xml:space="preserve">Among youth who reported being enrolled in school, respondents were split almost evenly between high school students (45%) and youth in college, vocational, or graduate programs (51% combined), while 4% reported being enrolled in a GED program. This is a notable change from March 2025, when about two-thirds of enrolled youth were in high school, suggesting this year’s in-school respondents were more evenly distributed across secondary and postsecondary education.</w:t>
      </w:r>
    </w:p>
    <w:p>
      <w:pPr>
        <w:spacing w:after="120"/>
        <w:jc w:val="center"/>
      </w:pPr>
      <w:r>
        <w:drawing>
          <wp:inline distT="0" distB="0" distL="0" distR="0">
            <wp:extent cx="603885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3590925"/>
                    </a:xfrm>
                    <a:prstGeom prst="rect">
                      <a:avLst/>
                    </a:prstGeom>
                  </pic:spPr>
                </pic:pic>
              </a:graphicData>
            </a:graphic>
          </wp:inline>
        </w:drawing>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the 46% of survey respondents who reported being employed, 48% have been at their job for more than six months, 24% have been at their current job for three to six months, and 28% have been working there for less than three months.</w:t>
      </w:r>
    </w:p>
    <w:p>
      <w:pPr>
        <w:pStyle w:val="Normal"/>
        <w:spacing w:after="240" w:before="240" w:line="240"/>
      </w:pPr>
      <w:r>
        <w:rPr>
          <w:rFonts w:ascii="Calibri" w:cs="Calibri" w:eastAsia="Calibri" w:hAnsi="Calibri"/>
          <w:b w:val="false"/>
          <w:bCs w:val="false"/>
          <w:sz w:val="22"/>
          <w:szCs w:val="22"/>
        </w:rPr>
        <w:t xml:space="preserve">Longer-term employment was more common among youth working full time than part time, and among both 18 to 20 year olds and 21 to 23 year olds the largest share of employed youth had already been in their jobs for more than six months. This suggests that once youth are connected to work, many are maintaining employment for at least part of the year.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Normal"/>
        <w:spacing w:after="240" w:before="240" w:line="240"/>
      </w:pPr>
      <w:r>
        <w:rPr>
          <w:rFonts w:ascii="Calibri" w:cs="Calibri" w:eastAsia="Calibri" w:hAnsi="Calibri"/>
          <w:b w:val="false"/>
          <w:bCs w:val="false"/>
          <w:sz w:val="22"/>
          <w:szCs w:val="22"/>
        </w:rPr>
        <w:t xml:space="preserve">Employment status varied notably by age. Youth ages 16 to 17 were the least likely to be working, with most reporting they were not employed, while youth ages 21 to 23 were the most likely to report full-time work. Respondents ages 18 to 20 fell between those two groups and were more likely to report part-time than full-time employment.</w:t>
      </w:r>
    </w:p>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they believed were contributing to those challenges. Youth were offered a multiple-choice list of reasons and could also add their own responses.</w:t>
      </w:r>
    </w:p>
    <w:p>
      <w:pPr>
        <w:pStyle w:val="Normal"/>
        <w:spacing w:after="240" w:before="240" w:line="240"/>
      </w:pPr>
      <w:r>
        <w:rPr>
          <w:rFonts w:ascii="Calibri" w:cs="Calibri" w:eastAsia="Calibri" w:hAnsi="Calibri"/>
          <w:b w:val="false"/>
          <w:bCs w:val="false"/>
          <w:sz w:val="22"/>
          <w:szCs w:val="22"/>
        </w:rPr>
        <w:t xml:space="preserve">The most common challenge identified this year, reported by 41% of youth, was applying and not getting called, followed closely by transportation issues (40%) and limited work experience (36%). This represents a clear shift from March 2025, when transportation issues were the leading barrier at 32% and applying without getting called back was reported by 28% of youth. Mental or physical health remained a substantial barrier for 26% of youth, and nearly all of those reporting that challenge were age 18 or older.</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w:t>
      </w:r>
    </w:p>
    <w:p>
      <w:pPr>
        <w:pStyle w:val="Normal"/>
        <w:spacing w:after="240" w:before="240" w:line="240"/>
      </w:pPr>
      <w:r>
        <w:rPr>
          <w:rFonts w:ascii="Calibri" w:cs="Calibri" w:eastAsia="Calibri" w:hAnsi="Calibri"/>
          <w:b w:val="false"/>
          <w:bCs w:val="false"/>
          <w:sz w:val="22"/>
          <w:szCs w:val="22"/>
        </w:rPr>
        <w:t xml:space="preserve">This year, the most common reason youth reported leaving a job was finding a better job, cited by 33% of youth who reported at least one reason for leaving. Twenty-eight percent reported quitting, and 26% said the job was seasonal or temporary. Among the youth who quit, the most common specific reasons were low pay or not enough hours and mental or emotional health, each reported by 8% of youth who left a job; personal or family reasons followed closely at 7%.</w:t>
      </w:r>
    </w:p>
    <w:p>
      <w:pPr>
        <w:pStyle w:val="Normal"/>
        <w:spacing w:after="240" w:before="240" w:line="240"/>
      </w:pPr>
      <w:r>
        <w:rPr>
          <w:rFonts w:ascii="Calibri" w:cs="Calibri" w:eastAsia="Calibri" w:hAnsi="Calibri"/>
          <w:b w:val="false"/>
          <w:bCs w:val="false"/>
          <w:sz w:val="22"/>
          <w:szCs w:val="22"/>
        </w:rPr>
        <w:t xml:space="preserve">Unlike the prior year, quitting was not the dominant reason for job separation in this year’s data. Youth ages 18 to 20 and 21 to 23 both accounted for most reports of leaving a job, but no single age group clearly dominated the overall pattern of job separation.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Overall, 31% of respondents indicated they have a driver’s license, and an additional 9% have their learner’s permit. The likelihood a young person has their license increases with age: 17% of youth ages 16–17 have a license compared to 23% of those ages 18–20 and 44% of those ages 21–23. Compared to March 2025, license-holding increased slightly from 30% to 31%, while the learner’s-permit share remained at 9%.</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43% regularly have access to a reliable vehicle. About one-third have their own reliable vehicle, and another 10% share a reliable vehicle or can borrow one when needed. By comparison, 44% report they do not usually have access to a reliable vehicle, a slight worsening from March 2025 when 49% of licensed youth reported regular reliable vehicle access.</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bus or other public transportation, reported by 68% of employed youth. Another 11% indicated they use a combination of non-bus, non-driving methods, while 15% report driving themselves to work. Reliance on public transportation increased from 60% in March 2025, and the share driving themselves rose from 9%.</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whether they are registered to vote; overall, 62% of eligible respondents reported being registered, down from 67% in March 2025.</w:t>
      </w:r>
    </w:p>
    <w:p>
      <w:pPr>
        <w:pStyle w:val="Normal"/>
        <w:spacing w:after="240" w:before="240" w:line="240"/>
      </w:pPr>
      <w:r>
        <w:rPr>
          <w:rFonts w:ascii="Calibri" w:cs="Calibri" w:eastAsia="Calibri" w:hAnsi="Calibri"/>
          <w:b w:val="false"/>
          <w:bCs w:val="false"/>
          <w:sz w:val="22"/>
          <w:szCs w:val="22"/>
        </w:rPr>
        <w:t xml:space="preserve">Older youth were more likely to be registered than youth ages 18 to 20 (74% of 21- to 23-year-olds, compared with 52% of 18- to 20-year-olds), and females reported higher registration rates than males (67% and 55%, respectively).</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spacing w:after="240" w:before="240" w:line="240"/>
      </w:pPr>
      <w:r>
        <w:rPr>
          <w:rFonts w:ascii="Calibri" w:cs="Calibri" w:eastAsia="Calibri" w:hAnsi="Calibri"/>
          <w:b w:val="false"/>
          <w:bCs w:val="false"/>
          <w:sz w:val="22"/>
          <w:szCs w:val="22"/>
        </w:rPr>
        <w:t xml:space="preserve">As in March 2025, the most common reason youth gave for not registering to vote was believing their vote would not make a difference, followed by not understanding politics.</w:t>
      </w:r>
    </w:p>
    <w:p>
      <w:pPr>
        <w:pStyle w:val="Normal"/>
        <w:spacing w:after="240" w:before="240" w:line="240"/>
      </w:pPr>
      <w:r>
        <w:rPr>
          <w:rFonts w:ascii="Calibri" w:cs="Calibri" w:eastAsia="Calibri" w:hAnsi="Calibri"/>
          <w:b w:val="false"/>
          <w:bCs w:val="false"/>
          <w:sz w:val="22"/>
          <w:szCs w:val="22"/>
        </w:rPr>
        <w:t xml:space="preserve">6 of the 55 youth who provided a reason (11%) said they did not know how to register, and unlike March 2025, no respondents in the current data reported being registered while also selecting a reason for not being registered.</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Attendance patterns at the Zone vary by age, with older youth coming more frequently than youth ages 16 to 17. Overall, 16% reported attending every week and 29% one to three times per month, while 35% reported visiting less than once per month and 20% indicated they never visit the downtown Zone. This represents a modest decrease in regular attendance from March 2025, when 52% of respondents reported coming at least monthly; no 16- to 17-year-olds reported weekly attendance, compared with 15% of youth ages 18 to 20 and 24% of youth ages 21 to 23.</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who come at least monthly report coming to the 412 Youth Zone downtown to see their Youth Coach or other Zone staff (68%). Food (60%) and scheduled activities (58%) were also among the most common reasons for coming this year, ahead of working toward goals (54%). Among frequent visitors ages 21 to 23, 61% reported coming to be in a safe place and the same share reported coming to escape problems or issues, compared with 30% and 25%, respectively, of frequent visitors ages 18 to 20.</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 most common response for what would make them want to come more frequently was more activities that interest them (33%), followed closely by an invitation from their Youth Coach (30%) and knowing more about activities (26%). An invitation from a coach was especially salient for 18- to 20-year-olds, selected by 20 of 45 infrequent visitors in that age group. Open-text "other" responses most often referenced work or school schedules, transportation, and distance from the Zone.</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Banking practices vary by age, with older youth more likely than 16- to 17-year-olds to report having an account. Overall, 66% of respondents reported currently having a bank account, down slightly from 69% in March 2025.</w:t>
      </w:r>
    </w:p>
    <w:p>
      <w:pPr>
        <w:pStyle w:val="Normal"/>
        <w:spacing w:after="240" w:before="240" w:line="240"/>
      </w:pPr>
      <w:r>
        <w:rPr>
          <w:rFonts w:ascii="Calibri" w:cs="Calibri" w:eastAsia="Calibri" w:hAnsi="Calibri"/>
          <w:b w:val="false"/>
          <w:bCs w:val="false"/>
          <w:sz w:val="22"/>
          <w:szCs w:val="22"/>
        </w:rPr>
        <w:t xml:space="preserve">Nearly all youth who reported having an account also indicated they have a checking account (64% of all respondents), and 41% reported having a savings account. Digital payment apps such as Venmo, Zelle, and CashApp (53%) were used slightly more often than bank accounts themselves (52%) to store, receive, and transfer money, while 20% reported keeping cash at home.</w:t>
      </w:r>
    </w:p>
    <w:p>
      <w:pPr>
        <w:pStyle w:val="Normal"/>
        <w:spacing w:after="240" w:before="240" w:line="240"/>
      </w:pPr>
      <w:r>
        <w:rPr>
          <w:rFonts w:ascii="Calibri" w:cs="Calibri" w:eastAsia="Calibri" w:hAnsi="Calibri"/>
          <w:b w:val="false"/>
          <w:bCs w:val="false"/>
          <w:sz w:val="22"/>
          <w:szCs w:val="22"/>
        </w:rPr>
        <w:t xml:space="preserve">Among youth with accounts, the most common uses were saving money (75%) and direct deposit (60%). Older account holders were also more likely to report using their accounts to pay household bills (48% of account holders ages 21 to 23), and 79% of youth who had an account but did not report using it to manage money said they rely on digital payment apps instead.</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Normal"/>
        <w:spacing w:after="240" w:before="240" w:line="240"/>
      </w:pPr>
      <w:r>
        <w:rPr>
          <w:rFonts w:ascii="Calibri" w:cs="Calibri" w:eastAsia="Calibri" w:hAnsi="Calibri"/>
          <w:b w:val="false"/>
          <w:bCs w:val="false"/>
          <w:sz w:val="22"/>
          <w:szCs w:val="22"/>
        </w:rPr>
        <w:t xml:space="preserve">As in March 2025, most substantive comments were positive and focused on appreciation for Youth Zone staff, coaches, and the support youth receive through the program. Of the 35 comments that provided more than a brief no/none response, many described staff as welcoming, helpful, and attentive, and several youth specifically said the Zone helped them feel safe, supported, or make progress toward their goals.</w:t>
      </w:r>
    </w:p>
    <w:p>
      <w:pPr>
        <w:pStyle w:val="Normal"/>
        <w:spacing w:after="240" w:before="240" w:line="240"/>
      </w:pPr>
      <w:r>
        <w:rPr>
          <w:rFonts w:ascii="Calibri" w:cs="Calibri" w:eastAsia="Calibri" w:hAnsi="Calibri"/>
          <w:b w:val="false"/>
          <w:bCs w:val="false"/>
          <w:sz w:val="22"/>
          <w:szCs w:val="22"/>
        </w:rPr>
        <w:t xml:space="preserve">A smaller number of comments identified areas for improvement, most often around communication, access to resources such as driver's licensing help, or making activities easier to learn about in advance. A few quotes are included below as examples of the responses received.</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696d94634790f47352686f41c87c58d042b5095.png"/><Relationship Id="rId8" Type="http://schemas.openxmlformats.org/officeDocument/2006/relationships/image" Target="media/09eff247fc186d4cd437a36f67f99e38a1f5b2e4.png"/><Relationship Id="rId9" Type="http://schemas.openxmlformats.org/officeDocument/2006/relationships/image" Target="media/09ce3c1e5df1806e344c514e0c935b0b359a4740.png"/><Relationship Id="rId10" Type="http://schemas.openxmlformats.org/officeDocument/2006/relationships/image" Target="media/b6fb22731d5d9195a2f7819f7f877fef23566970.png"/><Relationship Id="rId11" Type="http://schemas.openxmlformats.org/officeDocument/2006/relationships/image" Target="media/788fd7d9fb5029edd99a816df5fdb26ac97b364a.png"/><Relationship Id="rId12" Type="http://schemas.openxmlformats.org/officeDocument/2006/relationships/image" Target="media/aa807fb2f162f0a3574e15ca874a672379a18af7.png"/><Relationship Id="rId13" Type="http://schemas.openxmlformats.org/officeDocument/2006/relationships/image" Target="media/9f7313f1b1f3335455a4febd46f542f1e91f0089.png"/><Relationship Id="rId14" Type="http://schemas.openxmlformats.org/officeDocument/2006/relationships/image" Target="media/9ccb56138d455440b38001fa07ee6f7cf0591c5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2026-04-09T11:58:34.788Z</dcterms:created>
  <dcterms:modified xsi:type="dcterms:W3CDTF">2026-04-09T11:58:34.789Z</dcterms:modified>
</cp:coreProperties>
</file>

<file path=docProps/custom.xml><?xml version="1.0" encoding="utf-8"?>
<Properties xmlns="http://schemas.openxmlformats.org/officeDocument/2006/custom-properties" xmlns:vt="http://schemas.openxmlformats.org/officeDocument/2006/docPropsVTypes"/>
</file>