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r>
    </w:tbl>
    <w:p>
      <w:pPr>
        <w:spacing w:after="120"/>
        <w:jc w:val="center"/>
      </w:pPr>
      <w:r>
        <w:drawing>
          <wp:inline distT="0" distB="0" distL="0" distR="0">
            <wp:extent cx="4572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676400"/>
                    </a:xfrm>
                    <a:prstGeom prst="rect">
                      <a:avLst/>
                    </a:prstGeom>
                  </pic:spPr>
                </pic:pic>
              </a:graphicData>
            </a:graphic>
          </wp:inline>
        </w:drawing>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Ratings across all five coach relationship items are shown in the table below.</w:t>
      </w:r>
    </w:p>
    <w:p>
      <w:pPr>
        <w:pStyle w:val="Caption"/>
      </w:pPr>
      <w:r>
        <w:rPr>
          <w:rFonts w:ascii="Calibri" w:cs="Calibri" w:eastAsia="Calibri" w:hAnsi="Calibri"/>
          <w:b/>
          <w:bCs/>
          <w:sz w:val="22"/>
          <w:szCs w:val="22"/>
        </w:rPr>
        <w:t xml:space="preserve">Satisfaction Ratings for Youth Coaches Over Time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My Youth Coach…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Sep-19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Sep-19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n=103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n=204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trustworthy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Values my opinions about my life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available to me when I need them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Makes me feel heard and understood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86%</w:t>
            </w:r>
          </w:p>
        </w:tc>
      </w:tr>
    </w:tbl>
    <w:p>
      <w:pPr>
        <w:spacing w:after="120"/>
        <w:jc w:val="center"/>
      </w:pPr>
      <w:r>
        <w:drawing>
          <wp:inline distT="0" distB="0" distL="0" distR="0">
            <wp:extent cx="50292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21621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The majority of youth communicate with their coaches weekly or monthly. A small number of youth reported their communication was Not Enough.</w:t>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For the remainder, current sleeping arrangements are shown in the table below.</w:t>
      </w:r>
    </w:p>
    <w:p>
      <w:pPr>
        <w:pStyle w:val="Caption"/>
      </w:pPr>
      <w:r>
        <w:rPr>
          <w:rFonts w:ascii="Calibri" w:cs="Calibri" w:eastAsia="Calibri" w:hAnsi="Calibri"/>
          <w:b/>
          <w:bCs/>
          <w:sz w:val="22"/>
          <w:szCs w:val="22"/>
        </w:rPr>
        <w:t xml:space="preserve">Housing Status and Current Sleeping Arrangements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Housing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 w/ Family/Friends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Homeless shelter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Couch surfing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In a car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Outside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Abandoned building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Other</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and stable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but cannot stay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stay 90 days, but not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place to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identify the reason(s).</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Heading1"/>
      </w:pPr>
      <w:r>
        <w:t xml:space="preserve">Employment and Education</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enrolled in school</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employed (44% of these youth are also enrolled in school)</w:t>
      </w:r>
    </w:p>
    <w:p>
      <w:pPr>
        <w:pStyle w:val="ListParagraph"/>
        <w:numPr>
          <w:ilvl w:val="0"/>
          <w:numId w:val="2"/>
        </w:numPr>
        <w:spacing w:after="240" w:before="240" w:line="240"/>
      </w:pPr>
      <w:r>
        <w:rPr>
          <w:rFonts w:ascii="Calibri" w:cs="Calibri" w:eastAsia="Calibri" w:hAnsi="Calibri"/>
          <w:sz w:val="22"/>
          <w:szCs w:val="22"/>
        </w:rPr>
        <w:t xml:space="preserve">73% of respondents who are in school and unemployed are looking for a job</w:t>
      </w:r>
    </w:p>
    <w:p>
      <w:pPr>
        <w:pStyle w:val="ListParagraph"/>
        <w:numPr>
          <w:ilvl w:val="0"/>
          <w:numId w:val="2"/>
        </w:numPr>
        <w:spacing w:after="240" w:before="240" w:line="240"/>
      </w:pPr>
      <w:r>
        <w:rPr>
          <w:rFonts w:ascii="Calibri" w:cs="Calibri" w:eastAsia="Calibri" w:hAnsi="Calibri"/>
          <w:sz w:val="22"/>
          <w:szCs w:val="22"/>
        </w:rPr>
        <w:t xml:space="preserve">82% of respondents who are not in school and unemployed are looking for a job</w:t>
      </w:r>
    </w:p>
    <w:p>
      <w:pPr>
        <w:pStyle w:val="ListParagraph"/>
        <w:numPr>
          <w:ilvl w:val="0"/>
          <w:numId w:val="2"/>
        </w:numPr>
        <w:spacing w:after="240" w:before="240" w:line="240"/>
      </w:pPr>
      <w:r>
        <w:rPr>
          <w:rFonts w:ascii="Calibri" w:cs="Calibri" w:eastAsia="Calibri" w:hAnsi="Calibri"/>
          <w:sz w:val="22"/>
          <w:szCs w:val="22"/>
        </w:rPr>
        <w:t xml:space="preserve">22% of respondents are both not in school and unemployed; 7 of these 44 youth report not completing high school or a GED</w:t>
      </w:r>
    </w:p>
    <w:p>
      <w:pPr>
        <w:pStyle w:val="Caption"/>
      </w:pPr>
      <w:r>
        <w:rPr>
          <w:rFonts w:ascii="Calibri" w:cs="Calibri" w:eastAsia="Calibri" w:hAnsi="Calibri"/>
          <w:b/>
          <w:bCs/>
          <w:sz w:val="22"/>
          <w:szCs w:val="22"/>
        </w:rPr>
        <w:t xml:space="preserve">Educational Enrollment and Attainment</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Group</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Level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Graduate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College/Vocational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GED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 Degree or Certificate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College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HS Diploma or 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the 46% of survey respondents that reported being employed, 48% have been at their job for six months or longer.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r>
    </w:tbl>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why. The most common challenge identified, reported by 41% of youth, was applying and not getting called.</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Youth with Barriers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Use of drugs or alcohol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 Sub-reasons for youth who quit are shown indented below the Quit row.</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Who Left a Job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Source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bl>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The table below displays driver’s license status by age.</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about half regularly have access to a reliable vehicle.</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public transportation.</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No-Car Combination (non-bus)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to report on whether they are registered to vote. Overall, 62% of eligible respondents reported being registered to vote.</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bl>
    <w:p>
      <w:pPr>
        <w:pStyle w:val="Normal"/>
        <w:spacing w:after="240" w:before="240" w:line="240"/>
      </w:pPr>
      <w:r>
        <w:rPr>
          <w:rFonts w:ascii="Calibri" w:cs="Calibri" w:eastAsia="Calibri" w:hAnsi="Calibri"/>
          <w:b w:val="false"/>
          <w:bCs w:val="false"/>
          <w:sz w:val="22"/>
          <w:szCs w:val="22"/>
        </w:rPr>
        <w:t xml:space="preserve">The most common reason youth provided for not registering to vote is that they believe their vote won’t make a difference.</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This survey includes questions to better understand participants’ experiences at the Zone. Attendance patterns at the Zone vary by age, with older youth coming more frequently than youth ages 16 to 17.</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report coming to the 412 Youth Zone downtown to see their coach and to work toward their goals.</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they were asked what would make them want to come more frequently.</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80% of respondents indicated progress supported by the Zone in at least one area.</w:t>
      </w:r>
    </w:p>
    <w:p>
      <w:pPr>
        <w:pStyle w:val="Normal"/>
        <w:spacing w:after="240" w:before="240" w:line="240"/>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bl>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Overall, 66% of respondents reported currently having a bank account.</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0c653a76925a2bcb07b0ac3b937717bfb8b7b6b.png"/><Relationship Id="rId8" Type="http://schemas.openxmlformats.org/officeDocument/2006/relationships/image" Target="media/36d04b50469ff410df4116eea45b55f8f3e122dc.png"/><Relationship Id="rId9" Type="http://schemas.openxmlformats.org/officeDocument/2006/relationships/image" Target="media/458a4c2779ed16325acc7a4aaff5c2225cb56aca.png"/><Relationship Id="rId10" Type="http://schemas.openxmlformats.org/officeDocument/2006/relationships/image" Target="media/12a15f61cca2b3008091a51e2e93e7721305d75a.png"/><Relationship Id="rId11" Type="http://schemas.openxmlformats.org/officeDocument/2006/relationships/image" Target="media/80ebb7851136a392891dfba527467582531dfffa.png"/><Relationship Id="rId12" Type="http://schemas.openxmlformats.org/officeDocument/2006/relationships/image" Target="media/9ccb56138d455440b38001fa07ee6f7cf0591c5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2026-04-08T21:43:06.280Z</dcterms:created>
  <dcterms:modified xsi:type="dcterms:W3CDTF">2026-04-08T21:43:06.281Z</dcterms:modified>
</cp:coreProperties>
</file>

<file path=docProps/custom.xml><?xml version="1.0" encoding="utf-8"?>
<Properties xmlns="http://schemas.openxmlformats.org/officeDocument/2006/custom-properties" xmlns:vt="http://schemas.openxmlformats.org/officeDocument/2006/docPropsVTypes"/>
</file>