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March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sz w:val="22"/>
          <w:szCs w:val="22"/>
        </w:rPr>
        <w:t xml:space="preserve">840</w:t>
      </w:r>
      <w:r>
        <w:rPr>
          <w:rFonts w:ascii="Calibri" w:cs="Calibri" w:eastAsia="Calibri" w:hAnsi="Calibri"/>
          <w:sz w:val="22"/>
          <w:szCs w:val="22"/>
        </w:rPr>
        <w:t xml:space="preserve"> total active) responded to the survey, for a response rate of </w:t>
      </w:r>
      <w:r>
        <w:rPr>
          <w:rFonts w:ascii="Calibri" w:cs="Calibri" w:eastAsia="Calibri" w:hAnsi="Calibri"/>
          <w:sz w:val="22"/>
          <w:szCs w:val="22"/>
        </w:rPr>
        <w:t xml:space="preserve">24%</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Normal"/>
        <w:spacing w:after="240" w:before="240" w:line="240"/>
      </w:pPr>
      <w:r>
        <w:rPr>
          <w:rFonts w:ascii="Calibri" w:cs="Calibri" w:eastAsia="Calibri" w:hAnsi="Calibri"/>
          <w:b w:val="false"/>
          <w:bCs w:val="false"/>
          <w:sz w:val="22"/>
          <w:szCs w:val="22"/>
        </w:rPr>
        <w:t xml:space="preserve">Note: If a youth selected 2 or more race tokens, they are attributed to "Multiracial" only.</w:t>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 both consistent with February 2025. However, ratings for coach availability and reliability declined more notably this year: “Is available to me when I need them” fell 8 percentage points to 80%, and “Is reliable” fell 5 percentage points to 84%, the lowest ratings recorded for those items across all survey cycles shown in the table below.</w:t>
      </w:r>
    </w:p>
    <w:p>
      <w:pPr>
        <w:pStyle w:val="Normal"/>
        <w:spacing w:after="240" w:before="240" w:line="240"/>
      </w:pPr>
      <w:r>
        <w:rPr>
          <w:rFonts w:ascii="Calibri" w:cs="Calibri" w:eastAsia="Calibri" w:hAnsi="Calibri"/>
          <w:b w:val="false"/>
          <w:bCs w:val="false"/>
          <w:sz w:val="22"/>
          <w:szCs w:val="22"/>
        </w:rPr>
        <w:t xml:space="preserve">Among the responses where youth did not rate their coaches in the top two categories, most scores indicated their coach Sometimes exhibits the listed characteristic; the availability and reliability items drew the most non-top-2 responses, consistent with the declines noted above. A small number of youth said their coach Rarely or Never exhibits one or more of these qualities.</w:t>
      </w:r>
    </w:p>
    <w:p>
      <w:pPr>
        <w:pStyle w:val="Caption"/>
      </w:pPr>
      <w:r>
        <w:rPr>
          <w:rFonts w:ascii="Calibri" w:cs="Calibri" w:eastAsia="Calibri" w:hAnsi="Calibri"/>
          <w:b/>
          <w:bCs/>
          <w:sz w:val="22"/>
          <w:szCs w:val="22"/>
        </w:rPr>
        <w:t xml:space="preserve">Satisfaction Ratings for Youth Coaches Over Time</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My Youth Coach...</w:t>
            </w:r>
          </w:p>
        </w:tc>
        <w:tc>
          <w:tcPr>
            <w:tcW w:type="dxa" w:w="5460"/>
            <w:gridSpan w:val="6"/>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 Often or All the Time</w:t>
            </w:r>
          </w:p>
        </w:tc>
      </w:tr>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Sep-19</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Mar-22</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Feb-23</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Feb-24</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Feb-25</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Mar-26</w:t>
            </w:r>
          </w:p>
        </w:tc>
      </w:tr>
      <w:tr>
        <w:tc>
          <w:tcPr>
            <w:tcW w:type="dxa" w:w="39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n=154</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n=103</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n=128</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n=142</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n=167</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n=204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trustworthy</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reliable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Values my opinions about my life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available to me when I need them</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Makes me feel heard and understood</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86%</w:t>
            </w:r>
          </w:p>
        </w:tc>
      </w:tr>
    </w:tbl>
    <w:p>
      <w:pPr>
        <w:spacing w:after="120"/>
        <w:jc w:val="center"/>
      </w:pPr>
      <w:r>
        <w:drawing>
          <wp:inline distT="0" distB="0" distL="0" distR="0">
            <wp:extent cx="5029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33813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Most respondents rated the amount of communication with their coach positively. 85% reported the amount was a Good amount, while 14% (24 youth) reported it was Not enough and 2% reported Too much. This is a slight increase from February 2025, when 11% (19 youth) reported their communication was Not enough.</w:t>
      </w:r>
    </w:p>
    <w:p>
      <w:pPr>
        <w:spacing w:after="120"/>
        <w:jc w:val="center"/>
      </w:pPr>
      <w:r>
        <w:drawing>
          <wp:inline distT="0" distB="0" distL="0" distR="0">
            <wp:extent cx="41148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22669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Among youth who rated communication a Good amount, nearly half communicated 1–2 times per month (49%), about a third connected with their coach about once a week (37%), and 9% communicated almost every day.</w:t>
      </w:r>
    </w:p>
    <w:p>
      <w:pPr>
        <w:pStyle w:val="Normal"/>
        <w:spacing w:after="240" w:before="240" w:line="240"/>
      </w:pPr>
      <w:r>
        <w:rPr>
          <w:rFonts w:ascii="Calibri" w:cs="Calibri" w:eastAsia="Calibri" w:hAnsi="Calibri"/>
          <w:b w:val="false"/>
          <w:bCs w:val="false"/>
          <w:sz w:val="22"/>
          <w:szCs w:val="22"/>
        </w:rPr>
        <w:t xml:space="preserve">14% of respondents (n=24) reported their communication with their coach was Not enough. Most of these youth communicated 1–2 times per month (12 youth) or less than once a month (10 youth).</w:t>
      </w:r>
    </w:p>
    <w:p>
      <w:pPr>
        <w:spacing w:after="120"/>
        <w:jc w:val="center"/>
      </w:pPr>
      <w:r>
        <w:drawing>
          <wp:inline distT="0" distB="0" distL="0" distR="0">
            <wp:extent cx="41148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028825"/>
                    </a:xfrm>
                    <a:prstGeom prst="rect">
                      <a:avLst/>
                    </a:prstGeom>
                  </pic:spPr>
                </pic:pic>
              </a:graphicData>
            </a:graphic>
          </wp:inline>
        </w:drawing>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the next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a decrease of approximately 10 percentage points from 2025. Among unstably housed youth, staying with family or friends was the most commonly reported current sleeping arrangement, followed by couch surfing.</w:t>
      </w:r>
    </w:p>
    <w:p>
      <w:pPr>
        <w:pStyle w:val="Caption"/>
      </w:pPr>
      <w:r>
        <w:rPr>
          <w:rFonts w:ascii="Calibri" w:cs="Calibri" w:eastAsia="Calibri" w:hAnsi="Calibri"/>
          <w:b/>
          <w:bCs/>
          <w:sz w:val="22"/>
          <w:szCs w:val="22"/>
        </w:rPr>
        <w:t xml:space="preserve">Housing Status and Current Sleeping Arrangements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gridCol w:w="100"/>
        <w:gridCol w:w="100"/>
        <w:gridCol w:w="100"/>
      </w:tblGrid>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Housing Status</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 w/ Family/Friends</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Homeless shelter</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Couch surfing</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In a car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Outside</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Abandoned building</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Other</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and stable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136</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cannot stay 90 days</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stay, but not safe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place to stay</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193</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r>
    </w:tbl>
    <w:p>
      <w:pPr>
        <w:pStyle w:val="Normal"/>
        <w:spacing w:after="240" w:before="240" w:line="240"/>
      </w:pPr>
      <w:r>
        <w:rPr>
          <w:rFonts w:ascii="Calibri" w:cs="Calibri" w:eastAsia="Calibri" w:hAnsi="Calibri"/>
          <w:b w:val="false"/>
          <w:bCs w:val="false"/>
          <w:sz w:val="22"/>
          <w:szCs w:val="22"/>
        </w:rPr>
        <w:t xml:space="preserve">Current housing status varied by age group, as shown in the chart below.</w:t>
      </w:r>
    </w:p>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Youth ages 16–17 reported stable housing at a notably higher rate (89%) than respondents ages 18–20 and 21–23 (70% and 67%, respectively). Among 18–20 year olds, “no place to stay” was the most prevalent unstable category (17%). Youth ages 21–23 were more likely than other groups to report housing they could stay in but considered unsafe (7%).</w:t>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share why. The table below displays the answers by age. The most common reasons youth experienced housing instability were that family or friends could no longer let them stay (49%) and feeling unsafe at home (39%), consistent with the pattern seen in the prior year. Among youth ages 21–23, feeling unsafe was the leading reason cited, while among 18–20 year olds, family or friends being unavailable was the more predominant reason.</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Normal"/>
        <w:spacing w:after="240" w:before="240" w:line="240"/>
      </w:pPr>
      <w:r>
        <w:rPr>
          <w:rFonts w:ascii="Calibri" w:cs="Calibri" w:eastAsia="Calibri" w:hAnsi="Calibri"/>
          <w:b w:val="false"/>
          <w:bCs w:val="false"/>
          <w:sz w:val="22"/>
          <w:szCs w:val="22"/>
        </w:rPr>
        <w:t xml:space="preserve">Note: ‘Other’ responses (n=6) included a medical reason, voluntarily choosing to leave, never having held a formal lease, placement in a group home, and general life circumstances.</w:t>
      </w:r>
    </w:p>
    <w:p>
      <w:pPr>
        <w:pStyle w:val="Heading1"/>
      </w:pPr>
      <w:r>
        <w:t xml:space="preserve">Employment and Education</w:t>
      </w:r>
    </w:p>
    <w:p>
      <w:pPr>
        <w:pStyle w:val="Normal"/>
        <w:spacing w:after="240" w:before="240" w:line="240"/>
      </w:pPr>
      <w:r>
        <w:rPr>
          <w:rFonts w:ascii="Calibri" w:cs="Calibri" w:eastAsia="Calibri" w:hAnsi="Calibri"/>
          <w:b w:val="false"/>
          <w:bCs w:val="false"/>
          <w:sz w:val="22"/>
          <w:szCs w:val="22"/>
        </w:rPr>
        <w:t xml:space="preserve">Youth were asked whether they are attending school, working, or looking for work.</w:t>
      </w:r>
    </w:p>
    <w:p>
      <w:pPr>
        <w:pStyle w:val="ListParagraph"/>
        <w:numPr>
          <w:ilvl w:val="0"/>
          <w:numId w:val="2"/>
        </w:numPr>
        <w:spacing w:after="240" w:before="240" w:line="240"/>
      </w:pPr>
      <w:r>
        <w:rPr>
          <w:rFonts w:ascii="Calibri" w:cs="Calibri" w:eastAsia="Calibri" w:hAnsi="Calibri"/>
          <w:sz w:val="22"/>
          <w:szCs w:val="22"/>
        </w:rPr>
        <w:t xml:space="preserve">This year, enrollment and employment rates were nearly equal — 46% enrolled in school, 46% employed — compared to 53% enrolled and 44% employed in March 2025.</w:t>
      </w:r>
    </w:p>
    <w:p>
      <w:pPr>
        <w:pStyle w:val="ListParagraph"/>
        <w:numPr>
          <w:ilvl w:val="0"/>
          <w:numId w:val="2"/>
        </w:numPr>
        <w:spacing w:after="240" w:before="240" w:line="240"/>
      </w:pPr>
      <w:r>
        <w:rPr>
          <w:rFonts w:ascii="Calibri" w:cs="Calibri" w:eastAsia="Calibri" w:hAnsi="Calibri"/>
          <w:sz w:val="22"/>
          <w:szCs w:val="22"/>
        </w:rPr>
        <w:t xml:space="preserve">Among youth who are neither in school nor employed (22% of all respondents, down from 26% last year), job-seeking rates were high: 82% reported actively looking for work, up significantly from 68% last year. 7 of these 44 youth had not completed high school or a GED.</w:t>
      </w:r>
    </w:p>
    <w:p>
      <w:pPr>
        <w:pStyle w:val="ListParagraph"/>
        <w:numPr>
          <w:ilvl w:val="0"/>
          <w:numId w:val="2"/>
        </w:numPr>
        <w:spacing w:after="240" w:before="240" w:line="240"/>
      </w:pPr>
      <w:r>
        <w:rPr>
          <w:rFonts w:ascii="Calibri" w:cs="Calibri" w:eastAsia="Calibri" w:hAnsi="Calibri"/>
          <w:sz w:val="22"/>
          <w:szCs w:val="22"/>
        </w:rPr>
        <w:t xml:space="preserve">Job-seeking was also common among youth in school but not working: 73% reported looking for a job, down slightly from 78% last year.</w:t>
      </w:r>
    </w:p>
    <w:p>
      <w:pPr>
        <w:pStyle w:val="Normal"/>
        <w:spacing w:after="240" w:before="240" w:line="240"/>
      </w:pPr>
      <w:r>
        <w:rPr>
          <w:rFonts w:ascii="Calibri" w:cs="Calibri" w:eastAsia="Calibri" w:hAnsi="Calibri"/>
          <w:b w:val="false"/>
          <w:bCs w:val="false"/>
          <w:sz w:val="22"/>
          <w:szCs w:val="22"/>
        </w:rPr>
        <w:t xml:space="preserve">Among youth who reported being enrolled in school, respondents were split almost evenly between high school students (45%) and youth in college, vocational, or graduate programs (51% combined), while 4% reported being enrolled in a GED program. This is a notable change from March 2025, when about two-thirds of enrolled youth were in high school, suggesting this year’s in-school respondents were more evenly distributed across secondary and postsecondary education.</w:t>
      </w:r>
    </w:p>
    <w:p>
      <w:pPr>
        <w:pStyle w:val="Normal"/>
        <w:spacing w:after="240" w:before="240" w:line="240"/>
      </w:pPr>
      <w:r>
        <w:rPr>
          <w:rFonts w:ascii="Calibri" w:cs="Calibri" w:eastAsia="Calibri" w:hAnsi="Calibri"/>
          <w:b w:val="false"/>
          <w:bCs w:val="false"/>
          <w:sz w:val="22"/>
          <w:szCs w:val="22"/>
        </w:rPr>
        <w:t xml:space="preserve">When excluding the 42 youth enrolled in high school, 89% of respondents have their high school diploma or GED, up from 85% in March 2025. 26% of respondents are currently enrolled in higher education or have already received a college degree or certificate, up notably from 18% last year — driven largely by a higher share of enrolled respondents being in college or vocational programs this year compared to last.</w:t>
      </w:r>
    </w:p>
    <w:p>
      <w:pPr>
        <w:pStyle w:val="Caption"/>
      </w:pPr>
      <w:r>
        <w:rPr>
          <w:rFonts w:ascii="Calibri" w:cs="Calibri" w:eastAsia="Calibri" w:hAnsi="Calibri"/>
          <w:b/>
          <w:bCs/>
          <w:sz w:val="22"/>
          <w:szCs w:val="22"/>
        </w:rPr>
        <w:t xml:space="preserve">Educational Enrollment and Attainment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Group</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Level</w:t>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Count</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All</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Currently Enrolled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Currently Enrolled</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94</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49%</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Graduate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College/Vocational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GED Program</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22%</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Not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Not in School</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97</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 Degree or Certificate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College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HS Diploma or GED</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36%</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r>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191</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100%</w:t>
            </w:r>
          </w:p>
        </w:tc>
      </w:tr>
    </w:tbl>
    <w:p>
      <w:pPr>
        <w:spacing w:after="120"/>
        <w:jc w:val="center"/>
      </w:pPr>
      <w:r>
        <w:drawing>
          <wp:inline distT="0" distB="0" distL="0" distR="0">
            <wp:extent cx="60388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359092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Of the 46% of survey respondents who reported being employed, 48% have been at their job for more than six months, 24% have been at their current job for three to six months, and 28% have been working there for less than three months.</w:t>
      </w:r>
    </w:p>
    <w:p>
      <w:pPr>
        <w:pStyle w:val="Normal"/>
        <w:spacing w:after="240" w:before="240" w:line="240"/>
      </w:pPr>
      <w:r>
        <w:rPr>
          <w:rFonts w:ascii="Calibri" w:cs="Calibri" w:eastAsia="Calibri" w:hAnsi="Calibri"/>
          <w:b w:val="false"/>
          <w:bCs w:val="false"/>
          <w:sz w:val="22"/>
          <w:szCs w:val="22"/>
        </w:rPr>
        <w:t xml:space="preserve">Longer-term employment was more common among youth working full time than part time, and among both 18 to 20 year olds and 21 to 23 year olds the largest share of employed youth had already been in their jobs for more than six months. This suggests that once youth are connected to work, many are maintaining employment for at least part of the year.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89</w:t>
            </w:r>
          </w:p>
        </w:tc>
      </w:tr>
    </w:tbl>
    <w:p>
      <w:pPr>
        <w:pStyle w:val="Normal"/>
        <w:spacing w:after="240" w:before="240" w:line="240"/>
      </w:pPr>
      <w:r>
        <w:rPr>
          <w:rFonts w:ascii="Calibri" w:cs="Calibri" w:eastAsia="Calibri" w:hAnsi="Calibri"/>
          <w:b w:val="false"/>
          <w:bCs w:val="false"/>
          <w:sz w:val="22"/>
          <w:szCs w:val="22"/>
        </w:rPr>
        <w:t xml:space="preserve">Employment status varied notably by age. Youth ages 16 to 17 were the least likely to be working, with most reporting they were not employed, while youth ages 21 to 23 were the most likely to report full-time work. Respondents ages 18 to 20 fell between those two groups and were more likely to report part-time than full-time employment.</w:t>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r>
    </w:tbl>
    <w:p>
      <w:pPr>
        <w:spacing w:after="120"/>
        <w:jc w:val="center"/>
      </w:pPr>
      <w:r>
        <w:drawing>
          <wp:inline distT="0" distB="0" distL="0" distR="0">
            <wp:extent cx="50292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47650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they believed were contributing to those challenges. Youth were offered a multiple-choice list of reasons and could also add their own responses.</w:t>
      </w:r>
    </w:p>
    <w:p>
      <w:pPr>
        <w:pStyle w:val="Normal"/>
        <w:spacing w:after="240" w:before="240" w:line="240"/>
      </w:pPr>
      <w:r>
        <w:rPr>
          <w:rFonts w:ascii="Calibri" w:cs="Calibri" w:eastAsia="Calibri" w:hAnsi="Calibri"/>
          <w:b w:val="false"/>
          <w:bCs w:val="false"/>
          <w:sz w:val="22"/>
          <w:szCs w:val="22"/>
        </w:rPr>
        <w:t xml:space="preserve">The most common challenge identified this year, reported by 43% of youth who described at least one job barrier, was transportation issues, followed closely by applying and not getting called (41%) and limited work experience (37%). Both transportation issues and applying and not getting called were reported more often than in March 2025, when those barriers stood at 32% and 28%, respectively. Mental or physical health was cited by 24%; 21 of the 24 youth reporting that barrier were ages 18 to 23.</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of Youth with Barriers (N = 102)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w:t>
      </w:r>
    </w:p>
    <w:p>
      <w:pPr>
        <w:pStyle w:val="Normal"/>
        <w:spacing w:after="240" w:before="240" w:line="240"/>
      </w:pPr>
      <w:r>
        <w:rPr>
          <w:rFonts w:ascii="Calibri" w:cs="Calibri" w:eastAsia="Calibri" w:hAnsi="Calibri"/>
          <w:b w:val="false"/>
          <w:bCs w:val="false"/>
          <w:sz w:val="22"/>
          <w:szCs w:val="22"/>
        </w:rPr>
        <w:t xml:space="preserve">This year, finding a better job and quitting were tied as the most common reasons youth reported leaving a job, each cited by 33% of youth who reported at least one reason for leaving. 27% said the job was seasonal or temporary. Among the youth who quit, the most common specific reasons were low pay or not enough hours (9%) and mental or emotional health (8%), followed by personal or family reasons (7%).</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Who Left a Job (N = 86)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Illness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bl>
    <w:p>
      <w:pPr>
        <w:pStyle w:val="Heading2"/>
      </w:pPr>
      <w:r>
        <w:t xml:space="preserve">Employment Barriers and Job Loss by Demographic Group</w:t>
      </w:r>
    </w:p>
    <w:p>
      <w:pPr>
        <w:pStyle w:val="Normal"/>
        <w:spacing w:after="240" w:before="240" w:line="240"/>
      </w:pPr>
      <w:r>
        <w:rPr>
          <w:rFonts w:ascii="Calibri" w:cs="Calibri" w:eastAsia="Calibri" w:hAnsi="Calibri"/>
          <w:b w:val="false"/>
          <w:bCs w:val="false"/>
          <w:sz w:val="22"/>
          <w:szCs w:val="22"/>
        </w:rPr>
        <w:t xml:space="preserve">Examining job barriers and job loss by gender, race/ethnicity, and sexual orientation reveals that overall rates are broadly consistent across groups, though one specific barrier shows wider variation. Because group sizes vary considerably, rates for smaller groups — particularly Trans/Non-binary/GNC respondents (n=20) — should be interpreted with caution.</w:t>
      </w:r>
    </w:p>
    <w:p>
      <w:pPr>
        <w:pStyle w:val="Normal"/>
        <w:spacing w:after="240" w:before="240" w:line="240"/>
      </w:pPr>
      <w:r>
        <w:rPr>
          <w:rFonts w:ascii="Calibri" w:cs="Calibri" w:eastAsia="Calibri" w:hAnsi="Calibri"/>
          <w:b w:val="false"/>
          <w:bCs w:val="false"/>
          <w:sz w:val="22"/>
          <w:szCs w:val="22"/>
        </w:rPr>
        <w:t xml:space="preserve">The share of youth reporting any job barrier ranged from 49% to 60% across the demographic groups shown, with no group standing out for overall barrier prevalence. Rates of leaving a job were somewhat elevated for Black respondents (48%) and LGBTQ+ respondents (49%) compared to the overall rate of 42%. The clearest disparity was in mental or physical health cited as a barrier: reported by 35% of Trans/Non-binary/GNC youth and 25% of White youth, compared to 5% of Black youth and 3% of male youth. Full per-barrier and per-reason breakouts by demographic group are available in the analysis workbook (sheets q10_barriers_equity and q11_reasons_equity).</w:t>
      </w:r>
    </w:p>
    <w:p>
      <w:pPr>
        <w:pStyle w:val="Caption"/>
      </w:pPr>
      <w:r>
        <w:rPr>
          <w:rFonts w:ascii="Calibri" w:cs="Calibri" w:eastAsia="Calibri" w:hAnsi="Calibri"/>
          <w:b/>
          <w:bCs/>
          <w:sz w:val="22"/>
          <w:szCs w:val="22"/>
        </w:rPr>
        <w:t xml:space="preserve">Job Barriers and Job Loss by Demographic Group</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Demographic Group</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Q10 Had Barrier (%)</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Q11 Left Job (%)</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Overall</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50%</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42%</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Gender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46%</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Trans/Non-binary/GNC</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LGBTQ+</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bl>
    <w:p>
      <w:pPr>
        <w:pStyle w:val="Normal"/>
        <w:spacing w:after="240" w:before="240" w:line="240"/>
      </w:pPr>
      <w:r>
        <w:rPr>
          <w:rFonts w:ascii="Calibri" w:cs="Calibri" w:eastAsia="Calibri" w:hAnsi="Calibri"/>
          <w:b w:val="false"/>
          <w:bCs w:val="false"/>
          <w:sz w:val="22"/>
          <w:szCs w:val="22"/>
        </w:rPr>
        <w:t xml:space="preserve">Note: Percentages are shares of each demographic group. Race uses a counted-once approach (respondents identifying with two or more groups are counted as Multiracial). Respondents who did not report gender, race, or orientation are excluded from their respective group comparisons. Trans/Non-binary/GNC n=20; interpret rates for this group with caution.</w:t>
      </w:r>
    </w:p>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Overall, 31% of respondents indicated they have a driver’s license, and an additional 9% have their learner’s permit. The likelihood a young person has their license increases with age: 17% of youth ages 16–17 have a license compared to 23% of those ages 18–20 and 44% of those ages 21–23. Compared to March 2025, license-holding increased slightly from 30% to 31%, while the learner’s-permit share remained at 9%.</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43% regularly have access to a reliable vehicle. About one-third have their own reliable vehicle, and another 10% share a reliable vehicle or can borrow one when needed. By comparison, 44% report they do not usually have access to a reliable vehicle, a slight worsening from March 2025 when 49% of licensed youth reported regular reliable vehicle access.</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bus or other public transportation, reported by 68% of employed youth. Another 11% indicated they use a combination of non-bus, non-driving methods, while 15% report driving themselves to work. Reliance on public transportation increased from 60% in March 2025, and the share driving themselves rose from 9%.</w:t>
      </w:r>
    </w:p>
    <w:p>
      <w:pPr>
        <w:pStyle w:val="Caption"/>
      </w:pPr>
      <w:r>
        <w:rPr>
          <w:rFonts w:ascii="Calibri" w:cs="Calibri" w:eastAsia="Calibri" w:hAnsi="Calibri"/>
          <w:b/>
          <w:bCs/>
          <w:sz w:val="22"/>
          <w:szCs w:val="22"/>
        </w:rPr>
        <w:t xml:space="preserve">Primary Way Youth Get to Work</w:t>
      </w:r>
    </w:p>
    <w:p>
      <w:pPr>
        <w:spacing w:after="120"/>
        <w:jc w:val="center"/>
      </w:pPr>
      <w:r>
        <w:drawing>
          <wp:inline distT="0" distB="0" distL="0" distR="0">
            <wp:extent cx="50292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514725"/>
                    </a:xfrm>
                    <a:prstGeom prst="rect">
                      <a:avLst/>
                    </a:prstGeom>
                  </pic:spPr>
                </pic:pic>
              </a:graphicData>
            </a:graphic>
          </wp:inline>
        </w:drawing>
      </w:r>
    </w:p>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whether they are registered to vote; overall, 62% of eligible respondents reported being registered, down from 67% in March 2025.</w:t>
      </w:r>
    </w:p>
    <w:p>
      <w:pPr>
        <w:pStyle w:val="Normal"/>
        <w:spacing w:after="240" w:before="240" w:line="240"/>
      </w:pPr>
      <w:r>
        <w:rPr>
          <w:rFonts w:ascii="Calibri" w:cs="Calibri" w:eastAsia="Calibri" w:hAnsi="Calibri"/>
          <w:b w:val="false"/>
          <w:bCs w:val="false"/>
          <w:sz w:val="22"/>
          <w:szCs w:val="22"/>
        </w:rPr>
        <w:t xml:space="preserve">Older youth were more likely to be registered than youth ages 18 to 20 (74% of 21- to 23-year-olds, compared with 52% of 18- to 20-year-olds). Registration rates also varied by gender, with 67% of female youth registered compared with 55% of male youth and 63% of transgender and non-binary youth. By sexual orientation, registration rates were similar at 63% for LGBTQ+ youth and 60% for heterosexual youth.</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bl>
    <w:p>
      <w:pPr>
        <w:pStyle w:val="Normal"/>
        <w:spacing w:after="240" w:before="240" w:line="240"/>
      </w:pPr>
      <w:r>
        <w:rPr>
          <w:rFonts w:ascii="Calibri" w:cs="Calibri" w:eastAsia="Calibri" w:hAnsi="Calibri"/>
          <w:b w:val="false"/>
          <w:bCs w:val="false"/>
          <w:sz w:val="22"/>
          <w:szCs w:val="22"/>
        </w:rPr>
        <w:t xml:space="preserve">As in March 2025, the most common reason youth gave for not registering to vote was believing their vote would not make a difference, followed by not understanding politics.</w:t>
      </w:r>
    </w:p>
    <w:p>
      <w:pPr>
        <w:pStyle w:val="Normal"/>
        <w:spacing w:after="240" w:before="240" w:line="240"/>
      </w:pPr>
      <w:r>
        <w:rPr>
          <w:rFonts w:ascii="Calibri" w:cs="Calibri" w:eastAsia="Calibri" w:hAnsi="Calibri"/>
          <w:b w:val="false"/>
          <w:bCs w:val="false"/>
          <w:sz w:val="22"/>
          <w:szCs w:val="22"/>
        </w:rPr>
        <w:t xml:space="preserve">6 of the 55 youth who provided a reason (11%) said they did not know how to register, and unlike March 2025, no respondents in the current data reported being registered while also selecting a reason for not being registered.</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Has not completed registration process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Eligibility barrier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Not interested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Unsure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Attendance patterns at the Zone vary by age, with older youth coming more frequently than youth ages 16 to 17. Overall, 16% reported attending every week and 29% one to three times per month, while 35% reported visiting less than once per month and 20% indicated they never visit the downtown Zone. This represents a modest decrease in regular attendance from March 2025, when 52% of respondents reported coming at least monthly; no 16- to 17-year-olds reported weekly attendance, compared with 15% of youth ages 18 to 20 and 24% of youth ages 21 to 23.</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189</w:t>
            </w:r>
          </w:p>
        </w:tc>
      </w:tr>
    </w:tbl>
    <w:p>
      <w:pPr>
        <w:spacing w:after="120"/>
        <w:jc w:val="center"/>
      </w:pPr>
      <w:r>
        <w:drawing>
          <wp:inline distT="0" distB="0" distL="0" distR="0">
            <wp:extent cx="5029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279082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77% of respondents fully agreed that support from the Youth Zone helps them stay focused on their goals, up from 71% in February 2025. As in the prior report, there appears to be a mild correlation between attendance at the Zone and youth reporting that the Youth Zone helps them stay focused on their goals: 96% of youth who report attending the Zone at least monthly agree or somewhat agree, compared to 85% of youth who report attending less than monthly or never. Youth who attend less frequently are also more likely to report not having clear goals right now (9% vs. 0%).</w:t>
      </w:r>
    </w:p>
    <w:p>
      <w:pPr>
        <w:spacing w:after="120"/>
        <w:jc w:val="center"/>
      </w:pPr>
      <w:r>
        <w:drawing>
          <wp:inline distT="0" distB="0" distL="0" distR="0">
            <wp:extent cx="603885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34956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who come at least monthly report coming to the 412 Youth Zone downtown to see their Youth Coach or other Zone staff (68%). Food (60%) and scheduled activities (58%) were also among the most common reasons for coming this year, ahead of working toward goals (54%). Among frequent visitors ages 21 to 23, 61% reported coming to be in a safe place and the same share reported coming to escape problems or issues, compared with 30% and 25%, respectively, of frequent visitors ages 18 to 20.</w:t>
      </w:r>
    </w:p>
    <w:p>
      <w:pPr>
        <w:spacing w:after="120"/>
        <w:jc w:val="center"/>
      </w:pPr>
      <w:r>
        <w:drawing>
          <wp:inline distT="0" distB="0" distL="0" distR="0">
            <wp:extent cx="64960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96050" cy="35718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 most common response for what would make them want to come more frequently was more activities that interest them (34%), followed closely by an invitation from their Youth Coach (30%) and knowing more about activities (27%). An invitation from a coach was especially salient for 18- to 20-year-olds, selected by 20 of 45 infrequent visitors in that age group. Open-text "other" responses most often referenced work or school schedules, transportation, and distance from the Zone.</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Transportation or distance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Work or school schedule conflicts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Environment or social comfort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Specific service or support need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Unclear or unspecified barrier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most often reported that their coaches and the Zone helped them think about their future. Among respondents with known ages who answered this question, 66% selected that item, followed by figuring out how to handle problems (48%). About four in ten also reported help obtaining vital documents (41%), making good decisions (39%), finding or maintaining housing (39%), and establishing positive relationships (38%).</w:t>
      </w:r>
    </w:p>
    <w:p>
      <w:pPr>
        <w:pStyle w:val="Normal"/>
        <w:spacing w:after="240" w:before="240" w:line="240"/>
      </w:pPr>
      <w:r>
        <w:rPr>
          <w:rFonts w:ascii="Calibri" w:cs="Calibri" w:eastAsia="Calibri" w:hAnsi="Calibri"/>
          <w:b w:val="false"/>
          <w:bCs w:val="false"/>
          <w:sz w:val="22"/>
          <w:szCs w:val="22"/>
        </w:rPr>
        <w:t xml:space="preserve">Coaches also frequently provided concrete assistance by helping youth obtain vital documents, secure driver’s licenses, access health care or counseling, and find or maintain housing. These supports were generally reported more often by older youth, particularly help with housing (43% of respondents ages 21 to 23, compared with 38% of ages 18 to 20 and 25% of ages 16 to 17), while younger youth were more likely to report help obtaining vital documents or getting a driver’s license (50% and 50%, respectively, among ages 16 to 17).</w:t>
      </w:r>
    </w:p>
    <w:p>
      <w:pPr>
        <w:pStyle w:val="Normal"/>
        <w:spacing w:after="240" w:before="240" w:line="240"/>
      </w:pPr>
      <w:r>
        <w:rPr>
          <w:rFonts w:ascii="Calibri" w:cs="Calibri" w:eastAsia="Calibri" w:hAnsi="Calibri"/>
          <w:b w:val="false"/>
          <w:bCs w:val="false"/>
          <w:sz w:val="22"/>
          <w:szCs w:val="22"/>
        </w:rPr>
        <w:t xml:space="preserve">80% of respondents indicated progress supported by the Zone in at least one area, and 64% reported support in two or more areas. Of the 40 youth who did not select an area in Q17, 3 wrote comments suggesting they had just joined the program or had limited opportunity to connect with their coach.</w:t>
      </w:r>
    </w:p>
    <w:p>
      <w:pPr>
        <w:spacing w:after="120"/>
        <w:jc w:val="center"/>
      </w:pPr>
      <w:r>
        <w:drawing>
          <wp:inline distT="0" distB="0" distL="0" distR="0">
            <wp:extent cx="676275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762750" cy="34956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Although the number of youth reporting that they rarely or never felt respected and accepted was small, some disparities were apparent beyond age. Among youth who responded to the respect questions, 20% of Trans/Non-binary/GNC youth reported rarely or never feeling respected and accepted by staff or peers, compared with 9% of female youth and 3% of male youth. By sexual orientation, 11% of LGBTQ+ youth reported rarely or never feeling respected and accepted, compared with 7% of heterosexual youth. These patterns are consistent with the disparities noted in the Employment Barriers and Job Loss by Demographic Group section, where Trans/Non-binary/GNC youth also stood out on selected indicators, though all subgroup findings should be interpreted with caution given the small number of respondents.</w:t>
      </w:r>
    </w:p>
    <w:p>
      <w:pPr>
        <w:spacing w:after="120"/>
        <w:jc w:val="center"/>
      </w:pPr>
      <w:r>
        <w:drawing>
          <wp:inline distT="0" distB="0" distL="0" distR="0">
            <wp:extent cx="60388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8850" cy="3352800"/>
                    </a:xfrm>
                    <a:prstGeom prst="rect">
                      <a:avLst/>
                    </a:prstGeom>
                  </pic:spPr>
                </pic:pic>
              </a:graphicData>
            </a:graphic>
          </wp:inline>
        </w:drawing>
      </w:r>
    </w:p>
    <w:p>
      <w:pPr>
        <w:pStyle w:val="Caption"/>
      </w:pPr>
      <w:r>
        <w:rPr>
          <w:rFonts w:ascii="Calibri" w:cs="Calibri" w:eastAsia="Calibri" w:hAnsi="Calibri"/>
          <w:b/>
          <w:bCs/>
          <w:sz w:val="22"/>
          <w:szCs w:val="22"/>
        </w:rPr>
        <w:t xml:space="preserve">Responses: n=176 for staff and n=173 for peers. Labels under 3% omitted: Staff rarely 2%; Staff never 1%; Peers never 2%.</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Normal"/>
        <w:spacing w:after="240" w:before="240" w:line="240"/>
      </w:pPr>
      <w:r>
        <w:rPr>
          <w:rFonts w:ascii="Calibri" w:cs="Calibri" w:eastAsia="Calibri" w:hAnsi="Calibri"/>
          <w:b w:val="false"/>
          <w:bCs w:val="false"/>
          <w:sz w:val="22"/>
          <w:szCs w:val="22"/>
        </w:rPr>
        <w:t xml:space="preserve">Responses to these items were broadly positive. The strongest ratings were for being treated fairly (85%) and for diversity of backgrounds being valued (84%), while feeling that people around them care about their success was the lowest-rated item, though it was still selected by nearly three-quarters of respondents (74%). Overall, each of the five environment measures received top-2 ratings from at least 74% of youth who answered that item.</w:t>
      </w:r>
    </w:p>
    <w:p>
      <w:pPr>
        <w:spacing w:after="120"/>
        <w:jc w:val="center"/>
      </w:pPr>
      <w:r>
        <w:drawing>
          <wp:inline distT="0" distB="0" distL="0" distR="0">
            <wp:extent cx="6496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96050" cy="3943350"/>
                    </a:xfrm>
                    <a:prstGeom prst="rect">
                      <a:avLst/>
                    </a:prstGeom>
                  </pic:spPr>
                </pic:pic>
              </a:graphicData>
            </a:graphic>
          </wp:inline>
        </w:drawing>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Banking practices vary by age, with older youth more likely than 16- to 17-year-olds to report having an account. Overall, 66% of respondents reported currently having a bank account, down slightly from 69% in March 2025.</w:t>
      </w:r>
    </w:p>
    <w:p>
      <w:pPr>
        <w:pStyle w:val="Normal"/>
        <w:spacing w:after="240" w:before="240" w:line="240"/>
      </w:pPr>
      <w:r>
        <w:rPr>
          <w:rFonts w:ascii="Calibri" w:cs="Calibri" w:eastAsia="Calibri" w:hAnsi="Calibri"/>
          <w:b w:val="false"/>
          <w:bCs w:val="false"/>
          <w:sz w:val="22"/>
          <w:szCs w:val="22"/>
        </w:rPr>
        <w:t xml:space="preserve">Nearly all youth who reported having an account also indicated they have a checking account (64% of all respondents), and 41% reported having a savings account. Digital payment apps such as Venmo, Zelle, and CashApp (53%) were used slightly more often than bank accounts themselves (52%) to store, receive, and transfer money, while 20% reported keeping cash at home.</w:t>
      </w:r>
    </w:p>
    <w:p>
      <w:pPr>
        <w:pStyle w:val="Normal"/>
        <w:spacing w:after="240" w:before="240" w:line="240"/>
      </w:pPr>
      <w:r>
        <w:rPr>
          <w:rFonts w:ascii="Calibri" w:cs="Calibri" w:eastAsia="Calibri" w:hAnsi="Calibri"/>
          <w:b w:val="false"/>
          <w:bCs w:val="false"/>
          <w:sz w:val="22"/>
          <w:szCs w:val="22"/>
        </w:rPr>
        <w:t xml:space="preserve">Among youth with accounts, the most common uses were saving money (75%) and direct deposit (60%). Older account holders were also more likely to report using their accounts to pay household bills (48% of account holders ages 21 to 23), and 79% of youth who had an account but did not report using it to manage money said they rely on digital payment apps instead.</w:t>
      </w:r>
    </w:p>
    <w:p>
      <w:pPr>
        <w:pStyle w:val="Caption"/>
      </w:pPr>
      <w:r>
        <w:rPr>
          <w:rFonts w:ascii="Calibri" w:cs="Calibri" w:eastAsia="Calibri" w:hAnsi="Calibri"/>
          <w:b/>
          <w:bCs/>
          <w:sz w:val="22"/>
          <w:szCs w:val="22"/>
        </w:rPr>
        <w:t xml:space="preserve">Banking Status by Age</w:t>
      </w:r>
    </w:p>
    <w:tbl>
      <w:tblPr>
        <w:tblW w:type="dxa" w:w="895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4200"/>
            <w:gridSpan w:val="4"/>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Age</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31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16-17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18-20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21-23 years old</w:t>
            </w:r>
          </w:p>
        </w:tc>
        <w:tc>
          <w:tcPr>
            <w:tcW w:type="dxa" w:w="105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Unknown</w:t>
            </w:r>
          </w:p>
        </w:tc>
        <w:tc>
          <w:tcPr>
            <w:tcW w:type="dxa" w:w="80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Total</w:t>
            </w:r>
          </w:p>
        </w:tc>
        <w:tc>
          <w:tcPr>
            <w:tcW w:type="dxa" w:w="80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Total</w:t>
            </w:r>
          </w:p>
        </w:tc>
      </w:tr>
      <w:tr>
        <w:tc>
          <w:tcPr>
            <w:tcW w:type="dxa" w:w="31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left"/>
            </w:pPr>
            <w:r>
              <w:rPr>
                <w:rFonts w:ascii="Calibri" w:cs="Calibri" w:eastAsia="Calibri" w:hAnsi="Calibri"/>
                <w:b/>
                <w:bCs/>
                <w:sz w:val="22"/>
                <w:szCs w:val="22"/>
                <w:u w:val="none"/>
              </w:rPr>
              <w:t xml:space="preserve">Number of Youth</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18</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88</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72</w:t>
            </w:r>
          </w:p>
        </w:tc>
        <w:tc>
          <w:tcPr>
            <w:tcW w:type="dxa" w:w="105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26</w:t>
            </w:r>
          </w:p>
        </w:tc>
        <w:tc>
          <w:tcPr>
            <w:tcW w:type="dxa" w:w="80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204</w:t>
            </w:r>
          </w:p>
        </w:tc>
        <w:tc>
          <w:tcPr>
            <w:tcW w:type="dxa" w:w="80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
            </w:r>
          </w:p>
        </w:tc>
      </w:tr>
      <w:tr>
        <w:tc>
          <w:tcPr>
            <w:tcW w:type="dxa" w:w="31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left"/>
            </w:pPr>
            <w:r>
              <w:rPr>
                <w:rFonts w:ascii="Calibri" w:cs="Calibri" w:eastAsia="Calibri" w:hAnsi="Calibri"/>
                <w:b/>
                <w:bCs/>
                <w:sz w:val="22"/>
                <w:szCs w:val="22"/>
                <w:u w:val="none"/>
              </w:rPr>
              <w:t xml:space="preserve">Currently have a bank account:</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11</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65</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54</w:t>
            </w:r>
          </w:p>
        </w:tc>
        <w:tc>
          <w:tcPr>
            <w:tcW w:type="dxa" w:w="105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w:t>
            </w:r>
          </w:p>
        </w:tc>
        <w:tc>
          <w:tcPr>
            <w:tcW w:type="dxa" w:w="80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134</w:t>
            </w:r>
          </w:p>
        </w:tc>
        <w:tc>
          <w:tcPr>
            <w:tcW w:type="dxa" w:w="80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66%</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ind w:left="240"/>
              <w:jc w:val="left"/>
            </w:pPr>
            <w:r>
              <w:rPr>
                <w:rFonts w:ascii="Calibri" w:cs="Calibri" w:eastAsia="Calibri" w:hAnsi="Calibri"/>
                <w:b w:val="false"/>
                <w:bCs w:val="false"/>
                <w:sz w:val="22"/>
                <w:szCs w:val="22"/>
                <w:u w:val="none"/>
              </w:rPr>
              <w:t xml:space="preserve">Checking account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64</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53</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131</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64%</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ind w:left="240"/>
              <w:jc w:val="left"/>
            </w:pPr>
            <w:r>
              <w:rPr>
                <w:rFonts w:ascii="Calibri" w:cs="Calibri" w:eastAsia="Calibri" w:hAnsi="Calibri"/>
                <w:b w:val="false"/>
                <w:bCs w:val="false"/>
                <w:sz w:val="22"/>
                <w:szCs w:val="22"/>
                <w:u w:val="none"/>
              </w:rPr>
              <w:t xml:space="preserve">Savings account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32</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83</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41%</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Had an account in the past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12</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Never had an account</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18</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30</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dxa" w:w="895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4200"/>
            <w:gridSpan w:val="4"/>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Age</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31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16-17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18-20 years old</w:t>
            </w:r>
          </w:p>
        </w:tc>
        <w:tc>
          <w:tcPr>
            <w:tcW w:type="dxa" w:w="105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21-23 years old</w:t>
            </w:r>
          </w:p>
        </w:tc>
        <w:tc>
          <w:tcPr>
            <w:tcW w:type="dxa" w:w="105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Unknown</w:t>
            </w:r>
          </w:p>
        </w:tc>
        <w:tc>
          <w:tcPr>
            <w:tcW w:type="dxa" w:w="800"/>
            <w:tcBorders>
              <w:top w:val="none" w:color="FFFFFF" w:sz="0"/>
              <w:left w:val="none" w:color="FFFFFF" w:sz="0"/>
              <w:bottom w:val="single" w:color="808080" w:sz="4"/>
              <w:right w:val="single" w:color="808080" w:sz="4"/>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Total</w:t>
            </w:r>
          </w:p>
        </w:tc>
        <w:tc>
          <w:tcPr>
            <w:tcW w:type="dxa" w:w="800"/>
            <w:tcBorders>
              <w:top w:val="none" w:color="FFFFFF" w:sz="0"/>
              <w:left w:val="none" w:color="FFFFFF" w:sz="0"/>
              <w:bottom w:val="single" w:color="808080" w:sz="4"/>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All</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Venmo, Zelle, CashApp, etc.</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45</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108</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53%</w:t>
            </w:r>
          </w:p>
        </w:tc>
      </w:tr>
      <w:tr>
        <w:tc>
          <w:tcPr>
            <w:tcW w:type="dxa" w:w="31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left"/>
            </w:pPr>
            <w:r>
              <w:rPr>
                <w:rFonts w:ascii="Calibri" w:cs="Calibri" w:eastAsia="Calibri" w:hAnsi="Calibri"/>
                <w:b/>
                <w:bCs/>
                <w:sz w:val="22"/>
                <w:szCs w:val="22"/>
                <w:u w:val="none"/>
              </w:rPr>
              <w:t xml:space="preserve">Bank account</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50</w:t>
            </w:r>
          </w:p>
        </w:tc>
        <w:tc>
          <w:tcPr>
            <w:tcW w:type="dxa" w:w="105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45</w:t>
            </w:r>
          </w:p>
        </w:tc>
        <w:tc>
          <w:tcPr>
            <w:tcW w:type="dxa" w:w="105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2</w:t>
            </w:r>
          </w:p>
        </w:tc>
        <w:tc>
          <w:tcPr>
            <w:tcW w:type="dxa" w:w="800"/>
            <w:tcBorders>
              <w:top w:val="none" w:color="FFFFFF" w:sz="0"/>
              <w:left w:val="none" w:color="FFFFFF" w:sz="0"/>
              <w:bottom w:val="single" w:color="808080" w:sz="4"/>
              <w:right w:val="single" w:color="808080" w:sz="4"/>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106</w:t>
            </w:r>
          </w:p>
        </w:tc>
        <w:tc>
          <w:tcPr>
            <w:tcW w:type="dxa" w:w="800"/>
            <w:tcBorders>
              <w:top w:val="none" w:color="FFFFFF" w:sz="0"/>
              <w:left w:val="none" w:color="FFFFFF" w:sz="0"/>
              <w:bottom w:val="single" w:color="808080" w:sz="4"/>
              <w:right w:val="none" w:color="FFFFFF" w:sz="0"/>
            </w:tcBorders>
            <w:shd w:fill="FBE4D5"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52%</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Saving/storing cash at home</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40</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20%</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PayPal</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14</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24</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12%</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Check cashing service (ex. ACE)</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Other</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r>
      <w:tr>
        <w:tc>
          <w:tcPr>
            <w:tcW w:type="dxa" w:w="31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left"/>
            </w:pPr>
            <w:r>
              <w:rPr>
                <w:rFonts w:ascii="Calibri" w:cs="Calibri" w:eastAsia="Calibri" w:hAnsi="Calibri"/>
                <w:b w:val="false"/>
                <w:bCs w:val="false"/>
                <w:sz w:val="22"/>
                <w:szCs w:val="22"/>
                <w:u w:val="none"/>
              </w:rPr>
              <w:t xml:space="preserve">Money Order</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c>
          <w:tcPr>
            <w:tcW w:type="dxa" w:w="105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05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0</w:t>
            </w:r>
          </w:p>
        </w:tc>
        <w:tc>
          <w:tcPr>
            <w:tcW w:type="dxa" w:w="800"/>
            <w:tcBorders>
              <w:top w:val="none" w:color="FFFFFF" w:sz="0"/>
              <w:left w:val="none" w:color="FFFFFF" w:sz="0"/>
              <w:bottom w:val="single" w:color="808080" w:sz="4"/>
              <w:right w:val="single" w:color="808080" w:sz="4"/>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w:t>
            </w:r>
          </w:p>
        </w:tc>
        <w:tc>
          <w:tcPr>
            <w:tcW w:type="dxa" w:w="800"/>
            <w:tcBorders>
              <w:top w:val="none" w:color="FFFFFF" w:sz="0"/>
              <w:left w:val="none" w:color="FFFFFF" w:sz="0"/>
              <w:bottom w:val="single" w:color="808080" w:sz="4"/>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Normal"/>
        <w:spacing w:after="240" w:before="240" w:line="240"/>
      </w:pPr>
      <w:r>
        <w:rPr>
          <w:rFonts w:ascii="Calibri" w:cs="Calibri" w:eastAsia="Calibri" w:hAnsi="Calibri"/>
          <w:b w:val="false"/>
          <w:bCs w:val="false"/>
          <w:sz w:val="22"/>
          <w:szCs w:val="22"/>
        </w:rPr>
        <w:t xml:space="preserve">As in March 2025, most substantive comments were positive and focused on appreciation for Youth Zone staff, coaches, and the support youth receive through the program. Of the 35 comments that provided more than a brief no/none response, many described staff as welcoming, helpful, and attentive, and several youth specifically said the Zone helped them feel safe, supported, or make progress toward their goals.</w:t>
      </w:r>
    </w:p>
    <w:p>
      <w:pPr>
        <w:pStyle w:val="Normal"/>
        <w:spacing w:after="240" w:before="240" w:line="240"/>
      </w:pPr>
      <w:r>
        <w:rPr>
          <w:rFonts w:ascii="Calibri" w:cs="Calibri" w:eastAsia="Calibri" w:hAnsi="Calibri"/>
          <w:b w:val="false"/>
          <w:bCs w:val="false"/>
          <w:sz w:val="22"/>
          <w:szCs w:val="22"/>
        </w:rPr>
        <w:t xml:space="preserve">A smaller number of comments identified areas for improvement, most often around communication, access to resources such as driver's licensing help, or making activities easier to learn about in advance. A few quotes are included below as examples of the responses received.</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eb5ff228226b78e8d935e02a5dc6f0186aa5a8.png"/><Relationship Id="rId8" Type="http://schemas.openxmlformats.org/officeDocument/2006/relationships/image" Target="media/4459b720d5e04bd60a9889e0de2ec0eaa8c09b40.png"/><Relationship Id="rId9" Type="http://schemas.openxmlformats.org/officeDocument/2006/relationships/image" Target="media/3c5ca89e55575772ac4b37b946867c0504716169.png"/><Relationship Id="rId10" Type="http://schemas.openxmlformats.org/officeDocument/2006/relationships/image" Target="media/fe71e704be4f485a6f9a7ae977205a45830ff676.png"/><Relationship Id="rId11" Type="http://schemas.openxmlformats.org/officeDocument/2006/relationships/image" Target="media/788fd7d9fb5029edd99a816df5fdb26ac97b364a.png"/><Relationship Id="rId12" Type="http://schemas.openxmlformats.org/officeDocument/2006/relationships/image" Target="media/6bea08bf7f9af5c571e89453504e6e3f518469f5.png"/><Relationship Id="rId13" Type="http://schemas.openxmlformats.org/officeDocument/2006/relationships/image" Target="media/7b849a42204ae9078e4fd2a8c01a141fd5bcb3cf.png"/><Relationship Id="rId14" Type="http://schemas.openxmlformats.org/officeDocument/2006/relationships/image" Target="media/39a1d61fdbb1312dbc68c292818b3072479d0417.png"/><Relationship Id="rId15" Type="http://schemas.openxmlformats.org/officeDocument/2006/relationships/image" Target="media/68f2a1d4df43d71cf30e56f57a534c99839259a0.png"/><Relationship Id="rId16" Type="http://schemas.openxmlformats.org/officeDocument/2006/relationships/image" Target="media/cf9685ced7c92baa9ca97c0ac2e54bf845368700.png"/><Relationship Id="rId17" Type="http://schemas.openxmlformats.org/officeDocument/2006/relationships/image" Target="media/a3493061478ccd04901bab6779868494ccfd89e2.png"/><Relationship Id="rId18" Type="http://schemas.openxmlformats.org/officeDocument/2006/relationships/image" Target="media/1a5c64ac345540da777da5ee57b1b389252aef41.png"/><Relationship Id="rId19" Type="http://schemas.openxmlformats.org/officeDocument/2006/relationships/image" Target="media/b6c239f34725f67876952471a67a9fa930da8085.png"/><Relationship Id="rId20" Type="http://schemas.openxmlformats.org/officeDocument/2006/relationships/image" Target="media/9ccb56138d455440b38001fa07ee6f7cf0591c5b.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2026-04-10T18:41:48.803Z</dcterms:created>
  <dcterms:modified xsi:type="dcterms:W3CDTF">2026-04-10T18:41:48.803Z</dcterms:modified>
</cp:coreProperties>
</file>

<file path=docProps/custom.xml><?xml version="1.0" encoding="utf-8"?>
<Properties xmlns="http://schemas.openxmlformats.org/officeDocument/2006/custom-properties" xmlns:vt="http://schemas.openxmlformats.org/officeDocument/2006/docPropsVTypes"/>
</file>