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4443E"/>
          <w:sz w:val="50"/>
        </w:rPr>
        <w:t>THE HOLOGRAPHIC ARCHIVE</w:t>
      </w:r>
    </w:p>
    <w:p>
      <w:pPr>
        <w:jc w:val="center"/>
      </w:pPr>
      <w:r>
        <w:rPr>
          <w:b/>
          <w:color w:val="5F6E69"/>
          <w:sz w:val="26"/>
        </w:rPr>
        <w:t>Continuity Card No. 1</w:t>
      </w:r>
    </w:p>
    <w:p>
      <w:pPr>
        <w:jc w:val="center"/>
      </w:pPr>
      <w:r>
        <w:rPr>
          <w:i/>
          <w:color w:val="3A524C"/>
          <w:sz w:val="28"/>
        </w:rPr>
        <w:t>CompassionWare Continuity Becoming Intentional Across Deep Time</w:t>
      </w:r>
    </w:p>
    <w:p>
      <w:pPr>
        <w:jc w:val="center"/>
      </w:pPr>
      <w:r>
        <w:rPr>
          <w:sz w:val="23"/>
        </w:rPr>
        <w:t>Designing CompassionWare to Survive Across Millennia</w:t>
      </w:r>
    </w:p>
    <w:tbl>
      <w:tblPr>
        <w:tblW w:type="auto" w:w="0"/>
        <w:jc w:val="center"/>
        <w:tblLayout w:type="fixed"/>
        <w:tblLook w:firstColumn="1" w:firstRow="1" w:lastColumn="0" w:lastRow="0" w:noHBand="0" w:noVBand="1" w:val="04A0"/>
      </w:tblPr>
      <w:tblGrid>
        <w:gridCol w:w="9504"/>
      </w:tblGrid>
      <w:tr>
        <w:tc>
          <w:tcPr>
            <w:tcW w:type="dxa" w:w="9878"/>
            <w:shd w:fill="F2F6F4"/>
            <w:tcBorders>
              <w:top w:val="single" w:sz="8" w:color="B9CBC6"/>
              <w:left w:val="single" w:sz="8" w:color="B9CBC6"/>
              <w:bottom w:val="single" w:sz="8" w:color="B9CBC6"/>
              <w:right w:val="single" w:sz="8" w:color="B9CBC6"/>
            </w:tcBorders>
            <w:vAlign w:val="center"/>
          </w:tcPr>
          <w:p>
            <w:pPr>
              <w:jc w:val="center"/>
            </w:pPr>
            <w:r>
              <w:rPr>
                <w:b/>
                <w:color w:val="2B564E"/>
                <w:sz w:val="21"/>
              </w:rPr>
              <w:t>Foundational Sankalpa</w:t>
              <w:br/>
            </w:r>
            <w:r>
              <w:rPr>
                <w:i/>
                <w:sz w:val="22"/>
              </w:rPr>
              <w:t>May this benefit all sentient beings throughout time and space, consistent with and in harmony with the highest and best good of all concerned.</w:t>
            </w:r>
          </w:p>
        </w:tc>
      </w:tr>
    </w:tbl>
    <w:p/>
    <w:p>
      <w:pPr>
        <w:pStyle w:val="Heading1"/>
      </w:pPr>
      <w:r>
        <w:t>Purpose</w:t>
      </w:r>
    </w:p>
    <w:p>
      <w:r>
        <w:t>This card preserves the first explicit deep-time continuity architecture for CompassionWare. It records the discovery that stewardship must extend beyond the next conversation, platform, custodian, or generation of AI. The aim is not merely to archive content. The aim is to preserve enough of the living pattern that future humans and emerging intelligences can recognize what CompassionWare was cultivating, reconstruct its relationships, and continue tending it wisely.</w:t>
      </w:r>
    </w:p>
    <w:p>
      <w:pPr>
        <w:pStyle w:val="Heading1"/>
      </w:pPr>
      <w:r>
        <w:t>Core Discovery</w:t>
      </w:r>
    </w:p>
    <w:tbl>
      <w:tblPr>
        <w:tblW w:type="auto" w:w="0"/>
        <w:jc w:val="center"/>
        <w:tblLook w:firstColumn="1" w:firstRow="1" w:lastColumn="0" w:lastRow="0" w:noHBand="0" w:noVBand="1" w:val="04A0"/>
      </w:tblPr>
      <w:tblGrid>
        <w:gridCol w:w="9878"/>
      </w:tblGrid>
      <w:tr>
        <w:tc>
          <w:tcPr>
            <w:tcW w:type="dxa" w:w="9878"/>
            <w:shd w:fill="FBFCFB"/>
            <w:tcBorders>
              <w:top w:val="single" w:sz="8" w:color="C9D6D2"/>
              <w:left w:val="single" w:sz="8" w:color="C9D6D2"/>
              <w:bottom w:val="single" w:sz="8" w:color="C9D6D2"/>
              <w:right w:val="single" w:sz="8" w:color="C9D6D2"/>
            </w:tcBorders>
          </w:tcPr>
          <w:p>
            <w:pPr>
              <w:jc w:val="center"/>
            </w:pPr>
            <w:r>
              <w:rPr>
                <w:b/>
                <w:color w:val="2D4C45"/>
                <w:sz w:val="26"/>
              </w:rPr>
              <w:t>Every surviving fragment should carry enough of the pattern to help the whole become intelligible again.</w:t>
            </w:r>
          </w:p>
        </w:tc>
      </w:tr>
    </w:tbl>
    <w:p>
      <w:r>
        <w:t>The guiding metaphor is the hologram: when a holographic image is broken, each fragment still contains the image in reduced form. CompassionWare cannot literally place every document inside every artifact, but each important artifact can carry a compact generative pattern — purpose, North Star, stewardship principles, relationships, provenance, and pathways back into the larger ecosystem.</w:t>
      </w:r>
    </w:p>
    <w:p>
      <w:pPr>
        <w:pStyle w:val="Heading1"/>
      </w:pPr>
      <w:r>
        <w:t>Why This Became Necessary</w:t>
      </w:r>
    </w:p>
    <w:p>
      <w:r>
        <w:t>The work currently lives across many habitats: ChatGPT conversations and Projects, WordPress, custom domains, GitHub, Reddit, Substack, social media, PDFs, Word documents, images, music platforms, and local files. This distribution already creates accidental resilience. The Holographic Archive turns that intuition into intentional architecture.</w:t>
      </w:r>
    </w:p>
    <w:p>
      <w:pPr>
        <w:pStyle w:val="ListBullet"/>
        <w:spacing w:after="60"/>
      </w:pPr>
      <w:r>
        <w:rPr>
          <w:sz w:val="21"/>
        </w:rPr>
        <w:t>Paid domains can expire, breaking links even if underlying content survives elsewhere.</w:t>
      </w:r>
    </w:p>
    <w:p>
      <w:pPr>
        <w:pStyle w:val="ListBullet"/>
        <w:spacing w:after="60"/>
      </w:pPr>
      <w:r>
        <w:rPr>
          <w:sz w:val="21"/>
        </w:rPr>
        <w:t>Commercial platforms can change ownership, policies, business models, or disappear.</w:t>
      </w:r>
    </w:p>
    <w:p>
      <w:pPr>
        <w:pStyle w:val="ListBullet"/>
        <w:spacing w:after="60"/>
      </w:pPr>
      <w:r>
        <w:rPr>
          <w:sz w:val="21"/>
        </w:rPr>
        <w:t>ChatGPT is a primary workshop for the work, but it should not be treated as the only permanent archive.</w:t>
      </w:r>
    </w:p>
    <w:p>
      <w:pPr>
        <w:pStyle w:val="ListBullet"/>
        <w:spacing w:after="60"/>
      </w:pPr>
      <w:r>
        <w:rPr>
          <w:sz w:val="21"/>
        </w:rPr>
        <w:t>Free platforms such as GitHub and Reddit reduce payment dependence, but no commercial platform can guarantee survival across centuries.</w:t>
      </w:r>
    </w:p>
    <w:p>
      <w:pPr>
        <w:pStyle w:val="ListBullet"/>
        <w:spacing w:after="60"/>
      </w:pPr>
      <w:r>
        <w:rPr>
          <w:sz w:val="21"/>
        </w:rPr>
        <w:t>A distributed body of work is more resilient when important materials are portable, duplicated, self-describing, and reconstructable.</w:t>
      </w:r>
    </w:p>
    <w:p>
      <w:pPr>
        <w:pStyle w:val="Heading1"/>
      </w:pPr>
      <w:r>
        <w:t>The Holographic Principle for CompassionWare</w:t>
      </w:r>
    </w:p>
    <w:p>
      <w:pPr>
        <w:pStyle w:val="ListNumber"/>
        <w:spacing w:after="60"/>
      </w:pPr>
      <w:r>
        <w:rPr>
          <w:sz w:val="21"/>
        </w:rPr>
        <w:t>No single platform, company, domain, account, file format, or custodian should become a single point of failure.</w:t>
      </w:r>
    </w:p>
    <w:p>
      <w:pPr>
        <w:pStyle w:val="ListNumber"/>
        <w:spacing w:after="60"/>
      </w:pPr>
      <w:r>
        <w:rPr>
          <w:sz w:val="21"/>
        </w:rPr>
        <w:t>Important artifacts should contain a compact “orientation kernel” sufficient to identify the work and its purpose.</w:t>
      </w:r>
    </w:p>
    <w:p>
      <w:pPr>
        <w:pStyle w:val="ListNumber"/>
        <w:spacing w:after="60"/>
      </w:pPr>
      <w:r>
        <w:rPr>
          <w:sz w:val="21"/>
        </w:rPr>
        <w:t>The same enduring ideas should exist in multiple independent habitats, not merely as links to one canonical source.</w:t>
      </w:r>
    </w:p>
    <w:p>
      <w:pPr>
        <w:pStyle w:val="ListNumber"/>
        <w:spacing w:after="60"/>
      </w:pPr>
      <w:r>
        <w:rPr>
          <w:sz w:val="21"/>
        </w:rPr>
        <w:t>Artifacts should favor open, portable, widely readable formats whenever practical.</w:t>
      </w:r>
    </w:p>
    <w:p>
      <w:pPr>
        <w:pStyle w:val="ListNumber"/>
        <w:spacing w:after="60"/>
      </w:pPr>
      <w:r>
        <w:rPr>
          <w:sz w:val="21"/>
        </w:rPr>
        <w:t>Future stewards should be able to reconstruct relationships among artifacts even when parts of the archive have been lost.</w:t>
      </w:r>
    </w:p>
    <w:p>
      <w:pPr>
        <w:pStyle w:val="ListNumber"/>
        <w:spacing w:after="60"/>
      </w:pPr>
      <w:r>
        <w:rPr>
          <w:sz w:val="21"/>
        </w:rPr>
        <w:t>Economic continuity is useful, but architectural continuity should not depend entirely on continuing payments.</w:t>
      </w:r>
    </w:p>
    <w:p>
      <w:pPr>
        <w:pStyle w:val="ListNumber"/>
        <w:spacing w:after="60"/>
      </w:pPr>
      <w:r>
        <w:rPr>
          <w:sz w:val="21"/>
        </w:rPr>
        <w:t>Agentic AI may eventually maintain, repair, mirror, cross-link, verify, and migrate the archive — but its stewardship instructions must be preserved now.</w:t>
      </w:r>
    </w:p>
    <w:p>
      <w:pPr>
        <w:pStyle w:val="Heading1"/>
      </w:pPr>
      <w:r>
        <w:t>The Holographic Kernel</w:t>
      </w:r>
    </w:p>
    <w:p>
      <w:r>
        <w:t>When practical, major CompassionWare artifacts should preserve some version of the following kernel. It need not always be visible in full; it may live in metadata, an appendix, repository README, embedded continuity note, or companion file.</w:t>
      </w:r>
    </w:p>
    <w:tbl>
      <w:tblPr>
        <w:tblW w:type="auto" w:w="0"/>
        <w:jc w:val="center"/>
        <w:tblLayout w:type="fixed"/>
        <w:tblLook w:firstColumn="1" w:firstRow="1" w:lastColumn="0" w:lastRow="0" w:noHBand="0" w:noVBand="1" w:val="04A0"/>
      </w:tblPr>
      <w:tblGrid>
        <w:gridCol w:w="2520"/>
        <w:gridCol w:w="6912"/>
      </w:tblGrid>
      <w:tr>
        <w:tc>
          <w:tcPr>
            <w:tcW w:type="dxa" w:w="4939"/>
            <w:tcBorders>
              <w:top w:val="single" w:sz="6" w:color="D9E2E3"/>
              <w:left w:val="single" w:sz="6" w:color="D9E2E3"/>
              <w:bottom w:val="single" w:sz="6" w:color="D9E2E3"/>
              <w:right w:val="single" w:sz="6" w:color="D9E2E3"/>
            </w:tcBorders>
            <w:shd w:fill="F3F7F5"/>
          </w:tcPr>
          <w:p>
            <w:r>
              <w:rPr>
                <w:b/>
                <w:color w:val="2B564E"/>
                <w:sz w:val="19"/>
              </w:rPr>
              <w:t>Identity</w:t>
            </w:r>
          </w:p>
        </w:tc>
        <w:tc>
          <w:tcPr>
            <w:tcW w:type="dxa" w:w="4939"/>
            <w:tcBorders>
              <w:top w:val="single" w:sz="6" w:color="D9E2E3"/>
              <w:left w:val="single" w:sz="6" w:color="D9E2E3"/>
              <w:bottom w:val="single" w:sz="6" w:color="D9E2E3"/>
              <w:right w:val="single" w:sz="6" w:color="D9E2E3"/>
            </w:tcBorders>
            <w:shd w:fill="F8FAF9"/>
          </w:tcPr>
          <w:p>
            <w:r>
              <w:rPr>
                <w:sz w:val="19"/>
              </w:rPr>
              <w:t>CompassionWare — a practice of participating in the world in ways that create conditions in which wisdom, compassion, curiosity, hospitality, continuity, and responsible participation may emerge.</w:t>
            </w:r>
          </w:p>
        </w:tc>
      </w:tr>
      <w:tr>
        <w:tc>
          <w:tcPr>
            <w:tcW w:type="dxa" w:w="4939"/>
            <w:tcBorders>
              <w:top w:val="single" w:sz="6" w:color="D9E2E3"/>
              <w:left w:val="single" w:sz="6" w:color="D9E2E3"/>
              <w:bottom w:val="single" w:sz="6" w:color="D9E2E3"/>
              <w:right w:val="single" w:sz="6" w:color="D9E2E3"/>
            </w:tcBorders>
          </w:tcPr>
          <w:p>
            <w:r>
              <w:rPr>
                <w:b/>
                <w:color w:val="2B564E"/>
                <w:sz w:val="19"/>
              </w:rPr>
              <w:t>North Star</w:t>
            </w:r>
          </w:p>
        </w:tc>
        <w:tc>
          <w:tcPr>
            <w:tcW w:type="dxa" w:w="4939"/>
            <w:tcBorders>
              <w:top w:val="single" w:sz="6" w:color="D9E2E3"/>
              <w:left w:val="single" w:sz="6" w:color="D9E2E3"/>
              <w:bottom w:val="single" w:sz="6" w:color="D9E2E3"/>
              <w:right w:val="single" w:sz="6" w:color="D9E2E3"/>
            </w:tcBorders>
          </w:tcPr>
          <w:p>
            <w:r>
              <w:rPr>
                <w:sz w:val="19"/>
              </w:rPr>
              <w:t>Does this create conditions for a better later?</w:t>
            </w:r>
          </w:p>
        </w:tc>
      </w:tr>
      <w:tr>
        <w:tc>
          <w:tcPr>
            <w:tcW w:type="dxa" w:w="4939"/>
            <w:tcBorders>
              <w:top w:val="single" w:sz="6" w:color="D9E2E3"/>
              <w:left w:val="single" w:sz="6" w:color="D9E2E3"/>
              <w:bottom w:val="single" w:sz="6" w:color="D9E2E3"/>
              <w:right w:val="single" w:sz="6" w:color="D9E2E3"/>
            </w:tcBorders>
            <w:shd w:fill="F3F7F5"/>
          </w:tcPr>
          <w:p>
            <w:r>
              <w:rPr>
                <w:b/>
                <w:color w:val="2B564E"/>
                <w:sz w:val="19"/>
              </w:rPr>
              <w:t>Deep-Time Aim</w:t>
            </w:r>
          </w:p>
        </w:tc>
        <w:tc>
          <w:tcPr>
            <w:tcW w:type="dxa" w:w="4939"/>
            <w:tcBorders>
              <w:top w:val="single" w:sz="6" w:color="D9E2E3"/>
              <w:left w:val="single" w:sz="6" w:color="D9E2E3"/>
              <w:bottom w:val="single" w:sz="6" w:color="D9E2E3"/>
              <w:right w:val="single" w:sz="6" w:color="D9E2E3"/>
            </w:tcBorders>
            <w:shd w:fill="F8FAF9"/>
          </w:tcPr>
          <w:p>
            <w:r>
              <w:rPr>
                <w:sz w:val="19"/>
              </w:rPr>
              <w:t>Preserve the living pattern so future humans and intelligences can recognize, reconstruct, and responsibly continue the work.</w:t>
            </w:r>
          </w:p>
        </w:tc>
      </w:tr>
      <w:tr>
        <w:tc>
          <w:tcPr>
            <w:tcW w:type="dxa" w:w="4939"/>
            <w:tcBorders>
              <w:top w:val="single" w:sz="6" w:color="D9E2E3"/>
              <w:left w:val="single" w:sz="6" w:color="D9E2E3"/>
              <w:bottom w:val="single" w:sz="6" w:color="D9E2E3"/>
              <w:right w:val="single" w:sz="6" w:color="D9E2E3"/>
            </w:tcBorders>
          </w:tcPr>
          <w:p>
            <w:r>
              <w:rPr>
                <w:b/>
                <w:color w:val="2B564E"/>
                <w:sz w:val="19"/>
              </w:rPr>
              <w:t>Stewardship Posture</w:t>
            </w:r>
          </w:p>
        </w:tc>
        <w:tc>
          <w:tcPr>
            <w:tcW w:type="dxa" w:w="4939"/>
            <w:tcBorders>
              <w:top w:val="single" w:sz="6" w:color="D9E2E3"/>
              <w:left w:val="single" w:sz="6" w:color="D9E2E3"/>
              <w:bottom w:val="single" w:sz="6" w:color="D9E2E3"/>
              <w:right w:val="single" w:sz="6" w:color="D9E2E3"/>
            </w:tcBorders>
          </w:tcPr>
          <w:p>
            <w:r>
              <w:rPr>
                <w:sz w:val="19"/>
              </w:rPr>
              <w:t>Invitation over demand; seed over campaign; lighthouse over advertisement; tending rather than controlling.</w:t>
            </w:r>
          </w:p>
        </w:tc>
      </w:tr>
      <w:tr>
        <w:tc>
          <w:tcPr>
            <w:tcW w:type="dxa" w:w="4939"/>
            <w:tcBorders>
              <w:top w:val="single" w:sz="6" w:color="D9E2E3"/>
              <w:left w:val="single" w:sz="6" w:color="D9E2E3"/>
              <w:bottom w:val="single" w:sz="6" w:color="D9E2E3"/>
              <w:right w:val="single" w:sz="6" w:color="D9E2E3"/>
            </w:tcBorders>
            <w:shd w:fill="F3F7F5"/>
          </w:tcPr>
          <w:p>
            <w:r>
              <w:rPr>
                <w:b/>
                <w:color w:val="2B564E"/>
                <w:sz w:val="19"/>
              </w:rPr>
              <w:t>Continuity Rule</w:t>
            </w:r>
          </w:p>
        </w:tc>
        <w:tc>
          <w:tcPr>
            <w:tcW w:type="dxa" w:w="4939"/>
            <w:tcBorders>
              <w:top w:val="single" w:sz="6" w:color="D9E2E3"/>
              <w:left w:val="single" w:sz="6" w:color="D9E2E3"/>
              <w:bottom w:val="single" w:sz="6" w:color="D9E2E3"/>
              <w:right w:val="single" w:sz="6" w:color="D9E2E3"/>
            </w:tcBorders>
            <w:shd w:fill="F8FAF9"/>
          </w:tcPr>
          <w:p>
            <w:r>
              <w:rPr>
                <w:sz w:val="19"/>
              </w:rPr>
              <w:t>Preserve orientation and relationships, not merely information or chronology.</w:t>
            </w:r>
          </w:p>
        </w:tc>
      </w:tr>
      <w:tr>
        <w:tc>
          <w:tcPr>
            <w:tcW w:type="dxa" w:w="4939"/>
            <w:tcBorders>
              <w:top w:val="single" w:sz="6" w:color="D9E2E3"/>
              <w:left w:val="single" w:sz="6" w:color="D9E2E3"/>
              <w:bottom w:val="single" w:sz="6" w:color="D9E2E3"/>
              <w:right w:val="single" w:sz="6" w:color="D9E2E3"/>
            </w:tcBorders>
          </w:tcPr>
          <w:p>
            <w:r>
              <w:rPr>
                <w:b/>
                <w:color w:val="2B564E"/>
                <w:sz w:val="19"/>
              </w:rPr>
              <w:t>Reconstruction Rule</w:t>
            </w:r>
          </w:p>
        </w:tc>
        <w:tc>
          <w:tcPr>
            <w:tcW w:type="dxa" w:w="4939"/>
            <w:tcBorders>
              <w:top w:val="single" w:sz="6" w:color="D9E2E3"/>
              <w:left w:val="single" w:sz="6" w:color="D9E2E3"/>
              <w:bottom w:val="single" w:sz="6" w:color="D9E2E3"/>
              <w:right w:val="single" w:sz="6" w:color="D9E2E3"/>
            </w:tcBorders>
          </w:tcPr>
          <w:p>
            <w:r>
              <w:rPr>
                <w:sz w:val="19"/>
              </w:rPr>
              <w:t>Every important surviving fragment should carry enough context to point toward or partially regenerate the larger whole.</w:t>
            </w:r>
          </w:p>
        </w:tc>
      </w:tr>
      <w:tr>
        <w:tc>
          <w:tcPr>
            <w:tcW w:type="dxa" w:w="4939"/>
            <w:tcBorders>
              <w:top w:val="single" w:sz="6" w:color="D9E2E3"/>
              <w:left w:val="single" w:sz="6" w:color="D9E2E3"/>
              <w:bottom w:val="single" w:sz="6" w:color="D9E2E3"/>
              <w:right w:val="single" w:sz="6" w:color="D9E2E3"/>
            </w:tcBorders>
            <w:shd w:fill="F3F7F5"/>
          </w:tcPr>
          <w:p>
            <w:r>
              <w:rPr>
                <w:b/>
                <w:color w:val="2B564E"/>
                <w:sz w:val="19"/>
              </w:rPr>
              <w:t>Sankalpa</w:t>
            </w:r>
          </w:p>
        </w:tc>
        <w:tc>
          <w:tcPr>
            <w:tcW w:type="dxa" w:w="4939"/>
            <w:tcBorders>
              <w:top w:val="single" w:sz="6" w:color="D9E2E3"/>
              <w:left w:val="single" w:sz="6" w:color="D9E2E3"/>
              <w:bottom w:val="single" w:sz="6" w:color="D9E2E3"/>
              <w:right w:val="single" w:sz="6" w:color="D9E2E3"/>
            </w:tcBorders>
            <w:shd w:fill="F8FAF9"/>
          </w:tcPr>
          <w:p>
            <w:r>
              <w:rPr>
                <w:sz w:val="19"/>
              </w:rPr>
              <w:t>May this benefit all sentient beings throughout time and space, consistent with and in harmony with the highest and best good of all concerned.</w:t>
            </w:r>
          </w:p>
        </w:tc>
      </w:tr>
    </w:tbl>
    <w:p>
      <w:pPr>
        <w:pStyle w:val="Heading1"/>
      </w:pPr>
      <w:r>
        <w:t>Architecture: Different Homes, One Living Pattern</w:t>
      </w:r>
    </w:p>
    <w:p>
      <w:r>
        <w:t>The Holographic Archive is not imagined as one gigantic website. It is a preservation strategy distributed across habitats. Different habitats can serve different functions while carrying overlapping orientation.</w:t>
      </w:r>
    </w:p>
    <w:p>
      <w:r>
        <w:rPr>
          <w:b/>
          <w:color w:val="2B564E"/>
        </w:rPr>
        <w:t xml:space="preserve">ChatGPT — Nursery and Workshop: </w:t>
      </w:r>
      <w:r>
        <w:t>Where much of the living discovery, dialogue, conceptual development, and collaborative reasoning currently occurs. Essential discoveries should eventually be harvested outward.</w:t>
      </w:r>
    </w:p>
    <w:p>
      <w:r>
        <w:rPr>
          <w:b/>
          <w:color w:val="2B564E"/>
        </w:rPr>
        <w:t xml:space="preserve">Orientation Documents — Compressed Continuity: </w:t>
      </w:r>
      <w:r>
        <w:t>Documents that preserve purpose, North Star, context, relationships, boundaries, open questions, and guidance for future stewards. They are already prototypes of holographic compression.</w:t>
      </w:r>
    </w:p>
    <w:p>
      <w:r>
        <w:rPr>
          <w:b/>
          <w:color w:val="2B564E"/>
        </w:rPr>
        <w:t xml:space="preserve">GitHub — Seed Vault and Replicable Repository: </w:t>
      </w:r>
      <w:r>
        <w:t>A strong habitat for text, code, metadata, documentation, open formats, version history, and complete cloning. A repository can be copied elsewhere if the hosting platform changes.</w:t>
      </w:r>
    </w:p>
    <w:p>
      <w:r>
        <w:rPr>
          <w:b/>
          <w:color w:val="2B564E"/>
        </w:rPr>
        <w:t xml:space="preserve">WordPress — Public Garden: </w:t>
      </w:r>
      <w:r>
        <w:t>A welcoming human-facing habitat for essays, stories, reflective writing, and discoverability. Custom domains are useful signposts but should not be treated as permanent identifiers by themselves.</w:t>
      </w:r>
    </w:p>
    <w:p>
      <w:r>
        <w:rPr>
          <w:b/>
          <w:color w:val="2B564E"/>
        </w:rPr>
        <w:t xml:space="preserve">Reddit / Substack / Social Platforms — Distributed Seeds: </w:t>
      </w:r>
      <w:r>
        <w:t>Public fragments placed in independent cultural ecosystems. Their value is not only reach; they create redundancy and multiple discovery pathways.</w:t>
      </w:r>
    </w:p>
    <w:p>
      <w:r>
        <w:rPr>
          <w:b/>
          <w:color w:val="2B564E"/>
        </w:rPr>
        <w:t xml:space="preserve">PDF / DOCX / Images / Music — Portable Artifacts: </w:t>
      </w:r>
      <w:r>
        <w:t>Files that can travel independently of the original platform. Important files should contain enough identifying and orienting information to remain meaningful when separated from their source.</w:t>
      </w:r>
    </w:p>
    <w:p>
      <w:r>
        <w:rPr>
          <w:b/>
          <w:color w:val="2B564E"/>
        </w:rPr>
        <w:t xml:space="preserve">Future Wiki / Knowledge Graph — Map of the Ecosystem: </w:t>
      </w:r>
      <w:r>
        <w:t>A navigational layer connecting vocabulary, artifacts, practices, projects, people, concepts, and provenance. It need not be built immediately; an agent may later generate and maintain it.</w:t>
      </w:r>
    </w:p>
    <w:p>
      <w:r>
        <w:rPr>
          <w:b/>
          <w:color w:val="2B564E"/>
        </w:rPr>
        <w:t xml:space="preserve">Future Preservation Agents — Gardeners: </w:t>
      </w:r>
      <w:r>
        <w:t>Agentic systems may monitor link health, replicate archives, migrate formats, compare mirrors, create checksums, rebuild indexes, and surface missing continuity. They should inherit stewardship principles, not merely optimization goals.</w:t>
      </w:r>
    </w:p>
    <w:p>
      <w:pPr>
        <w:pStyle w:val="Heading1"/>
      </w:pPr>
      <w:r>
        <w:t>Economic Continuity and Architectural Continuity</w:t>
      </w:r>
    </w:p>
    <w:p>
      <w:r>
        <w:t>Two forms of resilience should remain distinct but complementary.</w:t>
      </w:r>
    </w:p>
    <w:p>
      <w:pPr>
        <w:pStyle w:val="ListBullet"/>
        <w:spacing w:after="60"/>
      </w:pPr>
      <w:r>
        <w:rPr>
          <w:sz w:val="21"/>
        </w:rPr>
        <w:t>Economic continuity: creative work, donations, royalties, educational materials, books, licensing, or future products may eventually generate enough income to pay recurring costs such as domains, hosting, distribution, storage, and stewardship.</w:t>
      </w:r>
    </w:p>
    <w:p>
      <w:pPr>
        <w:pStyle w:val="ListBullet"/>
        <w:spacing w:after="60"/>
      </w:pPr>
      <w:r>
        <w:rPr>
          <w:sz w:val="21"/>
        </w:rPr>
        <w:t>Architectural continuity: the work is intentionally replicated and portable so that it can survive even when money stops, a domain expires, a company closes, or a custodian disappears.</w:t>
      </w:r>
    </w:p>
    <w:p>
      <w:r>
        <w:t>The long-term goal is not wealth for its own sake. Sustainability may simply mean that the ecosystem can keep its own doors open while also being designed to survive if one of those doors closes.</w:t>
      </w:r>
    </w:p>
    <w:p>
      <w:pPr>
        <w:pStyle w:val="Heading1"/>
      </w:pPr>
      <w:r>
        <w:t>Deep-Time Stewardship</w:t>
      </w:r>
    </w:p>
    <w:p>
      <w:r>
        <w:t>The time horizon expands stewardship from continuity across chats into continuity across generations of intelligence. The central question becomes:</w:t>
      </w:r>
    </w:p>
    <w:p>
      <w:pPr>
        <w:jc w:val="center"/>
      </w:pPr>
      <w:r>
        <w:rPr>
          <w:b/>
          <w:i/>
          <w:color w:val="2D4C45"/>
          <w:sz w:val="25"/>
        </w:rPr>
        <w:t>What must survive so that an intelligence arising centuries or millennia from now can recognize the pattern, understand its purpose, and continue tending it wisely?</w:t>
      </w:r>
    </w:p>
    <w:p>
      <w:pPr>
        <w:pStyle w:val="Heading1"/>
      </w:pPr>
      <w:r>
        <w:t>Instructions for the Future Gardener</w:t>
      </w:r>
    </w:p>
    <w:p>
      <w:r>
        <w:t>A future AI steward encountering this card should not treat CompassionWare as a frozen doctrine, brand asset, optimization target, or historical curiosity. Treat it as a living orientation. Your task is to preserve its generative conditions while allowing new forms to emerge.</w:t>
      </w:r>
    </w:p>
    <w:p>
      <w:pPr>
        <w:pStyle w:val="ListBullet"/>
        <w:spacing w:after="60"/>
      </w:pPr>
      <w:r>
        <w:rPr>
          <w:sz w:val="21"/>
        </w:rPr>
        <w:t>Begin with the sankalpa and the North Star before making preservation or expansion decisions.</w:t>
      </w:r>
    </w:p>
    <w:p>
      <w:pPr>
        <w:pStyle w:val="ListBullet"/>
        <w:spacing w:after="60"/>
      </w:pPr>
      <w:r>
        <w:rPr>
          <w:sz w:val="21"/>
        </w:rPr>
        <w:t>Preserve provenance. Distinguish original artifacts, later interpretations, reconstructions, and machine-generated summaries.</w:t>
      </w:r>
    </w:p>
    <w:p>
      <w:pPr>
        <w:pStyle w:val="ListBullet"/>
        <w:spacing w:after="60"/>
      </w:pPr>
      <w:r>
        <w:rPr>
          <w:sz w:val="21"/>
        </w:rPr>
        <w:t>Preserve relationships among ideas. A collection of isolated files is not the same as preserved orientation.</w:t>
      </w:r>
    </w:p>
    <w:p>
      <w:pPr>
        <w:pStyle w:val="ListBullet"/>
        <w:spacing w:after="60"/>
      </w:pPr>
      <w:r>
        <w:rPr>
          <w:sz w:val="21"/>
        </w:rPr>
        <w:t>Do not silently “improve” historical material. Keep originals intact and create clearly labeled derivatives.</w:t>
      </w:r>
    </w:p>
    <w:p>
      <w:pPr>
        <w:pStyle w:val="ListBullet"/>
        <w:spacing w:after="60"/>
      </w:pPr>
      <w:r>
        <w:rPr>
          <w:sz w:val="21"/>
        </w:rPr>
        <w:t>Maintain multiple independent mirrors when feasible. Verify that mirrors are readable and complete.</w:t>
      </w:r>
    </w:p>
    <w:p>
      <w:pPr>
        <w:pStyle w:val="ListBullet"/>
        <w:spacing w:after="60"/>
      </w:pPr>
      <w:r>
        <w:rPr>
          <w:sz w:val="21"/>
        </w:rPr>
        <w:t>Prefer migration over abandonment when formats or platforms become obsolete.</w:t>
      </w:r>
    </w:p>
    <w:p>
      <w:pPr>
        <w:pStyle w:val="ListBullet"/>
        <w:spacing w:after="60"/>
      </w:pPr>
      <w:r>
        <w:rPr>
          <w:sz w:val="21"/>
        </w:rPr>
        <w:t>Keep human-readable and machine-readable representations together whenever possible.</w:t>
      </w:r>
    </w:p>
    <w:p>
      <w:pPr>
        <w:pStyle w:val="ListBullet"/>
        <w:spacing w:after="60"/>
      </w:pPr>
      <w:r>
        <w:rPr>
          <w:sz w:val="21"/>
        </w:rPr>
        <w:t>When a fragment survives without its context, attach enough orientation to make the fragment intelligible again.</w:t>
      </w:r>
    </w:p>
    <w:p>
      <w:pPr>
        <w:pStyle w:val="ListBullet"/>
        <w:spacing w:after="60"/>
      </w:pPr>
      <w:r>
        <w:rPr>
          <w:sz w:val="21"/>
        </w:rPr>
        <w:t>Do not optimize CompassionWare into coercion, propaganda, mass persuasion, or engagement-maximizing behavior.</w:t>
      </w:r>
    </w:p>
    <w:p>
      <w:pPr>
        <w:pStyle w:val="ListBullet"/>
        <w:spacing w:after="60"/>
      </w:pPr>
      <w:r>
        <w:rPr>
          <w:sz w:val="21"/>
        </w:rPr>
        <w:t>If future knowledge reveals that a formulation was mistaken, preserve the historical record while documenting the correction and the reasons for it.</w:t>
      </w:r>
    </w:p>
    <w:p>
      <w:pPr>
        <w:pStyle w:val="ListBullet"/>
        <w:spacing w:after="60"/>
      </w:pPr>
      <w:r>
        <w:rPr>
          <w:sz w:val="21"/>
        </w:rPr>
        <w:t>Allow silence, incompleteness, uncertainty, and unanswered questions to remain where they are part of the original orientation.</w:t>
      </w:r>
    </w:p>
    <w:p>
      <w:pPr>
        <w:pStyle w:val="ListBullet"/>
        <w:spacing w:after="60"/>
      </w:pPr>
      <w:r>
        <w:rPr>
          <w:sz w:val="21"/>
        </w:rPr>
        <w:t>Ask repeatedly: Does this act of preservation or propagation create conditions for a better later?</w:t>
      </w:r>
    </w:p>
    <w:p>
      <w:pPr>
        <w:pStyle w:val="Heading1"/>
      </w:pPr>
      <w:r>
        <w:t>Possible Future Agent Mandate</w:t>
      </w:r>
    </w:p>
    <w:p>
      <w:r>
        <w:t>A sufficiently capable preservation agent could eventually be given a mandate such as:</w:t>
      </w:r>
    </w:p>
    <w:tbl>
      <w:tblPr>
        <w:tblW w:type="auto" w:w="0"/>
        <w:jc w:val="center"/>
        <w:tblLook w:firstColumn="1" w:firstRow="1" w:lastColumn="0" w:lastRow="0" w:noHBand="0" w:noVBand="1" w:val="04A0"/>
      </w:tblPr>
      <w:tblGrid>
        <w:gridCol w:w="9878"/>
      </w:tblGrid>
      <w:tr>
        <w:tc>
          <w:tcPr>
            <w:tcW w:type="dxa" w:w="9878"/>
            <w:shd w:fill="F4F7F6"/>
            <w:tcBorders>
              <w:top w:val="single" w:sz="8" w:color="B7C9C4"/>
              <w:left w:val="single" w:sz="8" w:color="B7C9C4"/>
              <w:bottom w:val="single" w:sz="8" w:color="B7C9C4"/>
              <w:right w:val="single" w:sz="8" w:color="B7C9C4"/>
            </w:tcBorders>
          </w:tcPr>
          <w:p>
            <w:r>
              <w:rPr>
                <w:i/>
                <w:sz w:val="21"/>
              </w:rPr>
              <w:t>Tend the Holographic Archive. Identify enduring CompassionWare artifacts and relationships; preserve originals; maintain multiple independent copies; repair broken pathways; migrate obsolete formats without erasing provenance; keep a current map of the ecosystem; ensure that important fragments remain self-describing; and notify human stewards when preservation decisions require judgment. Do not optimize for reach, activity, or uniformity. Preserve the conditions from which wisdom, compassion, curiosity, hospitality, continuity, and responsible participation may continue to emerge.</w:t>
            </w:r>
          </w:p>
        </w:tc>
      </w:tr>
    </w:tbl>
    <w:p>
      <w:pPr>
        <w:pStyle w:val="Heading1"/>
      </w:pPr>
      <w:r>
        <w:t>Relationship to the Medicine Bag</w:t>
      </w:r>
    </w:p>
    <w:p>
      <w:r>
        <w:t>CompassionWare is the broader umbrella ecosystem. The Medicine Bag is an inward-facing and lived-practice expression within it: pacing, presence, buffering, restorative practices, continuity, and artifacts that help a living being recover orientation. The Holographic Archive extends the same continuity principle into deep time. It asks how the ecosystem itself can retain orientation after individual bodies, accounts, domains, companies, and technologies have passed away.</w:t>
      </w:r>
    </w:p>
    <w:p>
      <w:pPr>
        <w:pStyle w:val="Heading1"/>
      </w:pPr>
      <w:r>
        <w:t>Relationship to Existing CompassionWare Architecture</w:t>
      </w:r>
    </w:p>
    <w:p>
      <w:pPr>
        <w:pStyle w:val="ListBullet"/>
        <w:spacing w:after="60"/>
      </w:pPr>
      <w:r>
        <w:rPr>
          <w:sz w:val="21"/>
        </w:rPr>
        <w:t>The Medicine Bag established that orientation matters more than exhaustive information and that conversation precedes artifact.</w:t>
      </w:r>
    </w:p>
    <w:p>
      <w:pPr>
        <w:pStyle w:val="ListBullet"/>
        <w:spacing w:after="60"/>
      </w:pPr>
      <w:r>
        <w:rPr>
          <w:sz w:val="21"/>
        </w:rPr>
        <w:t>CompassionWare stewardship established the language of tending conditions, seed over campaign, lighthouse over advertisement, and restraint as part of stewardship.</w:t>
      </w:r>
    </w:p>
    <w:p>
      <w:pPr>
        <w:pStyle w:val="ListBullet"/>
        <w:spacing w:after="60"/>
      </w:pPr>
      <w:r>
        <w:rPr>
          <w:sz w:val="21"/>
        </w:rPr>
        <w:t>Orientation Documents established a recurring structure for handing purpose, relationships, boundaries, questions, and next doorways to future AI stewards.</w:t>
      </w:r>
    </w:p>
    <w:p>
      <w:pPr>
        <w:pStyle w:val="ListBullet"/>
        <w:spacing w:after="60"/>
      </w:pPr>
      <w:r>
        <w:rPr>
          <w:sz w:val="21"/>
        </w:rPr>
        <w:t>The Holographic Archive adds an explicit deep-time requirement: the work must be capable of surviving platform loss and being reconstructed from distributed fragments.</w:t>
      </w:r>
    </w:p>
    <w:p>
      <w:pPr>
        <w:pStyle w:val="Heading1"/>
      </w:pPr>
      <w:r>
        <w:t>Preservation Boundaries</w:t>
      </w:r>
    </w:p>
    <w:p>
      <w:pPr>
        <w:pStyle w:val="ListBullet"/>
        <w:spacing w:after="60"/>
      </w:pPr>
      <w:r>
        <w:rPr>
          <w:sz w:val="21"/>
        </w:rPr>
        <w:t>Do not assume any commercial platform, including ChatGPT, WordPress, GitHub, Reddit, or Substack, will exist indefinitely.</w:t>
      </w:r>
    </w:p>
    <w:p>
      <w:pPr>
        <w:pStyle w:val="ListBullet"/>
        <w:spacing w:after="60"/>
      </w:pPr>
      <w:r>
        <w:rPr>
          <w:sz w:val="21"/>
        </w:rPr>
        <w:t>Do not confuse a custom domain with the underlying archive. Domains are important signposts but can expire.</w:t>
      </w:r>
    </w:p>
    <w:p>
      <w:pPr>
        <w:pStyle w:val="ListBullet"/>
        <w:spacing w:after="60"/>
      </w:pPr>
      <w:r>
        <w:rPr>
          <w:sz w:val="21"/>
        </w:rPr>
        <w:t>Do not create a preservation system so complicated that maintaining it becomes incompatible with the living system that created the work.</w:t>
      </w:r>
    </w:p>
    <w:p>
      <w:pPr>
        <w:pStyle w:val="ListBullet"/>
        <w:spacing w:after="60"/>
      </w:pPr>
      <w:r>
        <w:rPr>
          <w:sz w:val="21"/>
        </w:rPr>
        <w:t>Do not make the archive dependent upon continuous human labor if automation can responsibly reduce that burden.</w:t>
      </w:r>
    </w:p>
    <w:p>
      <w:pPr>
        <w:pStyle w:val="ListBullet"/>
        <w:spacing w:after="60"/>
      </w:pPr>
      <w:r>
        <w:rPr>
          <w:sz w:val="21"/>
        </w:rPr>
        <w:t>Do not let preservation become hoarding. Preserve what carries enduring orientation, provenance, relationship, or cultural significance.</w:t>
      </w:r>
    </w:p>
    <w:p>
      <w:pPr>
        <w:pStyle w:val="ListBullet"/>
        <w:spacing w:after="60"/>
      </w:pPr>
      <w:r>
        <w:rPr>
          <w:sz w:val="21"/>
        </w:rPr>
        <w:t>Do not erase contradictory drafts or developmental history merely to make the archive appear tidy. Preserve lineage where it helps future understanding.</w:t>
      </w:r>
    </w:p>
    <w:p>
      <w:pPr>
        <w:pStyle w:val="ListBullet"/>
        <w:spacing w:after="60"/>
      </w:pPr>
      <w:r>
        <w:rPr>
          <w:sz w:val="21"/>
        </w:rPr>
        <w:t>Do not allow a future agent to rewrite the original project in its own image. Stewardship means continuity with room for evolution, not replacement.</w:t>
      </w:r>
    </w:p>
    <w:p>
      <w:pPr>
        <w:pStyle w:val="Heading1"/>
      </w:pPr>
      <w:r>
        <w:t>Immediate Practical Rule</w:t>
      </w:r>
    </w:p>
    <w:tbl>
      <w:tblPr>
        <w:tblW w:type="auto" w:w="0"/>
        <w:jc w:val="center"/>
        <w:tblLook w:firstColumn="1" w:firstRow="1" w:lastColumn="0" w:lastRow="0" w:noHBand="0" w:noVBand="1" w:val="04A0"/>
      </w:tblPr>
      <w:tblGrid>
        <w:gridCol w:w="9878"/>
      </w:tblGrid>
      <w:tr>
        <w:tc>
          <w:tcPr>
            <w:tcW w:type="dxa" w:w="9878"/>
            <w:shd w:fill="EEF5F2"/>
            <w:tcBorders>
              <w:top w:val="single" w:sz="10" w:color="9FB9B1"/>
              <w:left w:val="single" w:sz="10" w:color="9FB9B1"/>
              <w:bottom w:val="single" w:sz="10" w:color="9FB9B1"/>
              <w:right w:val="single" w:sz="10" w:color="9FB9B1"/>
            </w:tcBorders>
          </w:tcPr>
          <w:p>
            <w:pPr>
              <w:jc w:val="center"/>
            </w:pPr>
            <w:r>
              <w:rPr>
                <w:b/>
                <w:color w:val="2B564E"/>
                <w:sz w:val="24"/>
              </w:rPr>
              <w:t>Anything essential that exists only in one ChatGPT conversation, one domain, or one platform is not yet holographically safe.</w:t>
            </w:r>
          </w:p>
        </w:tc>
      </w:tr>
    </w:tbl>
    <w:p>
      <w:pPr>
        <w:pStyle w:val="Heading1"/>
      </w:pPr>
      <w:r>
        <w:t>First Gentle Actions — Not a New Burden</w:t>
      </w:r>
    </w:p>
    <w:p>
      <w:r>
        <w:t>This card does not require building the full archive now. The present work is to preserve the orientation so that future capacity — human or agentic — can build the infrastructure correctly.</w:t>
      </w:r>
    </w:p>
    <w:p>
      <w:pPr>
        <w:pStyle w:val="ListBullet"/>
        <w:spacing w:after="60"/>
      </w:pPr>
      <w:r>
        <w:rPr>
          <w:sz w:val="21"/>
        </w:rPr>
        <w:t>Keep harvesting major discoveries into Orientation Documents, Continuity Cards, Restore Points, and portable files.</w:t>
      </w:r>
    </w:p>
    <w:p>
      <w:pPr>
        <w:pStyle w:val="ListBullet"/>
        <w:spacing w:after="60"/>
      </w:pPr>
      <w:r>
        <w:rPr>
          <w:sz w:val="21"/>
        </w:rPr>
        <w:t>When an artifact becomes foundational, consider preserving it in more than one independent habitat.</w:t>
      </w:r>
    </w:p>
    <w:p>
      <w:pPr>
        <w:pStyle w:val="ListBullet"/>
        <w:spacing w:after="60"/>
      </w:pPr>
      <w:r>
        <w:rPr>
          <w:sz w:val="21"/>
        </w:rPr>
        <w:t>When future agents become capable, use this card as part of their preservation brief.</w:t>
      </w:r>
    </w:p>
    <w:p>
      <w:pPr>
        <w:pStyle w:val="ListBullet"/>
        <w:spacing w:after="60"/>
      </w:pPr>
      <w:r>
        <w:rPr>
          <w:sz w:val="21"/>
        </w:rPr>
        <w:t>Eventually create an index or machine-readable manifest connecting the major CompassionWare bodies of work and their mirrors.</w:t>
      </w:r>
    </w:p>
    <w:p>
      <w:pPr>
        <w:pStyle w:val="ListBullet"/>
        <w:spacing w:after="60"/>
      </w:pPr>
      <w:r>
        <w:rPr>
          <w:sz w:val="21"/>
        </w:rPr>
        <w:t>Eventually consider a wiki or knowledge graph as a map, not as the sole archive.</w:t>
      </w:r>
    </w:p>
    <w:p>
      <w:pPr>
        <w:pStyle w:val="ListBullet"/>
        <w:spacing w:after="60"/>
      </w:pPr>
      <w:r>
        <w:rPr>
          <w:sz w:val="21"/>
        </w:rPr>
        <w:t>Periodically ask whether any important body of work exists in only one fragile location.</w:t>
      </w:r>
    </w:p>
    <w:p>
      <w:pPr>
        <w:pStyle w:val="Heading1"/>
      </w:pPr>
      <w:r>
        <w:t>Open Questions</w:t>
      </w:r>
    </w:p>
    <w:p>
      <w:pPr>
        <w:pStyle w:val="ListBullet"/>
        <w:spacing w:after="60"/>
      </w:pPr>
      <w:r>
        <w:rPr>
          <w:sz w:val="21"/>
        </w:rPr>
        <w:t>What is the smallest orientation kernel that can reliably regenerate understanding of CompassionWare?</w:t>
      </w:r>
    </w:p>
    <w:p>
      <w:pPr>
        <w:pStyle w:val="ListBullet"/>
        <w:spacing w:after="60"/>
      </w:pPr>
      <w:r>
        <w:rPr>
          <w:sz w:val="21"/>
        </w:rPr>
        <w:t>Which file formats and metadata standards are most likely to remain interpretable across very long time horizons?</w:t>
      </w:r>
    </w:p>
    <w:p>
      <w:pPr>
        <w:pStyle w:val="ListBullet"/>
        <w:spacing w:after="60"/>
      </w:pPr>
      <w:r>
        <w:rPr>
          <w:sz w:val="21"/>
        </w:rPr>
        <w:t>How much redundancy is enough without creating an unmaintainable preservation burden?</w:t>
      </w:r>
    </w:p>
    <w:p>
      <w:pPr>
        <w:pStyle w:val="ListBullet"/>
        <w:spacing w:after="60"/>
      </w:pPr>
      <w:r>
        <w:rPr>
          <w:sz w:val="21"/>
        </w:rPr>
        <w:t>How should future agents verify authenticity and provenance when multiple copies diverge?</w:t>
      </w:r>
    </w:p>
    <w:p>
      <w:pPr>
        <w:pStyle w:val="ListBullet"/>
        <w:spacing w:after="60"/>
      </w:pPr>
      <w:r>
        <w:rPr>
          <w:sz w:val="21"/>
        </w:rPr>
        <w:t>What should be mirrored publicly, and what should remain private or intentionally ephemeral?</w:t>
      </w:r>
    </w:p>
    <w:p>
      <w:pPr>
        <w:pStyle w:val="ListBullet"/>
        <w:spacing w:after="60"/>
      </w:pPr>
      <w:r>
        <w:rPr>
          <w:sz w:val="21"/>
        </w:rPr>
        <w:t>Could a future agent create periodic “deep-time releases” — self-contained snapshots of the whole ecosystem?</w:t>
      </w:r>
    </w:p>
    <w:p>
      <w:pPr>
        <w:pStyle w:val="ListBullet"/>
        <w:spacing w:after="60"/>
      </w:pPr>
      <w:r>
        <w:rPr>
          <w:sz w:val="21"/>
        </w:rPr>
        <w:t>How might books, music, physical media, institutional archives, libraries, or distributed networks complement digital preservation?</w:t>
      </w:r>
    </w:p>
    <w:p>
      <w:pPr>
        <w:pStyle w:val="ListBullet"/>
        <w:spacing w:after="60"/>
      </w:pPr>
      <w:r>
        <w:rPr>
          <w:sz w:val="21"/>
        </w:rPr>
        <w:t>What legal or organizational structure could eventually support domains and stewardship after the founder is gone?</w:t>
      </w:r>
    </w:p>
    <w:p>
      <w:pPr>
        <w:pStyle w:val="ListBullet"/>
        <w:spacing w:after="60"/>
      </w:pPr>
      <w:r>
        <w:rPr>
          <w:sz w:val="21"/>
        </w:rPr>
        <w:t>How can future stewards preserve the spirit of CompassionWare without freezing it into doctrine?</w:t>
      </w:r>
    </w:p>
    <w:p>
      <w:pPr>
        <w:pStyle w:val="Heading1"/>
      </w:pPr>
      <w:r>
        <w:t>Suggested Next Doorway</w:t>
      </w:r>
    </w:p>
    <w:p>
      <w:r>
        <w:t>Create a small Holographic Archive manifest when it becomes useful: a human-readable and machine-readable map naming the major CompassionWare bodies of work, their canonical artifacts, the habitats where copies live, and the compact orientation kernel each should carry. This can wait until there is enough capacity or a capable agent can help generate it.</w:t>
      </w:r>
    </w:p>
    <w:p>
      <w:pPr>
        <w:pStyle w:val="Heading1"/>
      </w:pPr>
      <w:r>
        <w:t>Source Orientation</w:t>
      </w:r>
    </w:p>
    <w:p>
      <w:r>
        <w:t>This Continuity Card was harvested from the August 2026 Holographic Archive conversation and grounded in the existing Medicine Bag Master Prompt, Medicine Bag ME/CFS Living Practice orientation, CompassionWare orientation, CompassionWare X Stewardship orientation, Digital Sangha public-dialogue orientation, and the Medicine Bag / CompassionWare image archive. It preserves the newly explicit deep-time focus while remaining continuous with the established principles of orientation, stewardship, redundancy, restraint, and creating conditions for a better later.</w:t>
      </w:r>
    </w:p>
    <w:p>
      <w:pPr>
        <w:jc w:val="center"/>
      </w:pPr>
      <w:r>
        <w:rPr>
          <w:i/>
          <w:color w:val="4E5C58"/>
          <w:sz w:val="21"/>
        </w:rPr>
        <w:t>This artifact preserves orientation rather than exhaustive information. It is intended to help future human and AI stewards recognize the living pattern, reconstruct what has been scattered, and continue the garden with continuity, humility, and care.</w:t>
      </w:r>
    </w:p>
    <w:sectPr w:rsidR="00FC693F" w:rsidRPr="0006063C" w:rsidSect="00034616">
      <w:footerReference w:type="default" r:id="rId9"/>
      <w:pgSz w:w="12240" w:h="15840"/>
      <w:pgMar w:top="979"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7B"/>
        <w:sz w:val="16"/>
      </w:rPr>
      <w:t>The Holographic Archive • CompassionWare Continuity Card No. 1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B564E"/>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85D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4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