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7058"/>
          <w:sz w:val="22"/>
        </w:rPr>
        <w:t>THE HOLOGRAPHIC ARCHIVE</w:t>
      </w:r>
    </w:p>
    <w:p>
      <w:pPr>
        <w:pStyle w:val="Title"/>
        <w:jc w:val="center"/>
      </w:pPr>
      <w:r>
        <w:t>Restore Point</w:t>
      </w:r>
    </w:p>
    <w:p>
      <w:pPr>
        <w:jc w:val="center"/>
      </w:pPr>
      <w:r>
        <w:rPr>
          <w:i/>
          <w:sz w:val="26"/>
        </w:rPr>
        <w:t>Designing CompassionWare to Survive Across Millennia</w:t>
      </w:r>
    </w:p>
    <w:p>
      <w:pPr>
        <w:jc w:val="center"/>
      </w:pPr>
      <w:r>
        <w:rPr>
          <w:color w:val="6E6E6E"/>
          <w:sz w:val="18"/>
        </w:rPr>
        <w:t>Created August 14, 2026</w:t>
      </w:r>
    </w:p>
    <w:tbl>
      <w:tblPr>
        <w:tblW w:type="auto" w:w="0"/>
        <w:jc w:val="center"/>
        <w:tblLook w:firstColumn="1" w:firstRow="1" w:lastColumn="0" w:lastRow="0" w:noHBand="0" w:noVBand="1" w:val="04A0"/>
      </w:tblPr>
      <w:tblGrid>
        <w:gridCol w:w="10080"/>
      </w:tblGrid>
      <w:tr>
        <w:tc>
          <w:tcPr>
            <w:tcW w:type="dxa" w:w="10080"/>
            <w:shd w:fill="F2F4EE"/>
            <w:tcMar>
              <w:top w:w="120" w:type="dxa"/>
              <w:start w:w="150" w:type="dxa"/>
              <w:bottom w:w="120" w:type="dxa"/>
              <w:end w:w="150" w:type="dxa"/>
            </w:tcMar>
          </w:tcPr>
          <w:p>
            <w:r>
              <w:rPr>
                <w:b/>
                <w:color w:val="314C39"/>
              </w:rPr>
              <w:t>Foundational Sankalpa</w:t>
            </w:r>
          </w:p>
          <w:p>
            <w:pPr>
              <w:jc w:val="center"/>
            </w:pPr>
            <w:r>
              <w:rPr>
                <w:i/>
              </w:rPr>
              <w:t>May this benefit all sentient beings throughout time and space, consistent with and in harmony with the highest and best good of all concerned.</w:t>
            </w:r>
          </w:p>
        </w:tc>
      </w:tr>
    </w:tbl>
    <w:p/>
    <w:p>
      <w:pPr>
        <w:pStyle w:val="Heading1"/>
      </w:pPr>
      <w:r>
        <w:t>Purpose of This Restore Point</w:t>
      </w:r>
    </w:p>
    <w:p>
      <w:r>
        <w:t>This Restore Point preserves the full orientation of the first dedicated Holographic Archive conversation. It is intended to let a future human or AI steward reenter the work without needing the complete original thread. The Holographic Archive is the deep-time continuity branch of CompassionWare: its concern is not simply storage, but ensuring that the living pattern of CompassionWare remains discoverable, intelligible, reconstructable, and stewardable across changes in platforms, domains, technologies, custodians, and generations of intelligence.</w:t>
      </w:r>
    </w:p>
    <w:p>
      <w:pPr>
        <w:pStyle w:val="Heading1"/>
      </w:pPr>
      <w:r>
        <w:t>The Central Vision</w:t>
      </w:r>
    </w:p>
    <w:p>
      <w:r>
        <w:t>CompassionWare is being created partly for people and emerging intelligences that may encounter it a century, a millennium, or many millennia from now. The project therefore needs an architecture that does not assume that any present-day platform, company, domain, file format, or account will survive. The guiding image is holographic redundancy: if the larger archive is fractured, each important surviving fragment should still carry enough of the pattern to help the larger whole become intelligible again.</w:t>
      </w:r>
    </w:p>
    <w:tbl>
      <w:tblPr>
        <w:tblW w:type="auto" w:w="0"/>
        <w:jc w:val="center"/>
        <w:tblLook w:firstColumn="1" w:firstRow="1" w:lastColumn="0" w:lastRow="0" w:noHBand="0" w:noVBand="1" w:val="04A0"/>
      </w:tblPr>
      <w:tblGrid>
        <w:gridCol w:w="10080"/>
      </w:tblGrid>
      <w:tr>
        <w:tc>
          <w:tcPr>
            <w:tcW w:type="dxa" w:w="10080"/>
            <w:shd w:fill="F8F2E6"/>
            <w:tcMar>
              <w:top w:w="130" w:type="dxa"/>
              <w:start w:w="170" w:type="dxa"/>
              <w:bottom w:w="130" w:type="dxa"/>
              <w:end w:w="170" w:type="dxa"/>
            </w:tcMar>
          </w:tcPr>
          <w:p>
            <w:pPr>
              <w:jc w:val="center"/>
            </w:pPr>
            <w:r>
              <w:rPr>
                <w:b/>
                <w:color w:val="4E4732"/>
                <w:sz w:val="24"/>
              </w:rPr>
              <w:t>Every surviving fragment should carry enough of the pattern to help the whole become intelligible again.</w:t>
            </w:r>
          </w:p>
        </w:tc>
      </w:tr>
    </w:tbl>
    <w:p>
      <w:pPr>
        <w:pStyle w:val="Heading1"/>
      </w:pPr>
      <w:r>
        <w:t>What Was Discovered in This Thread</w:t>
      </w:r>
    </w:p>
    <w:p>
      <w:pPr>
        <w:pStyle w:val="Heading2"/>
      </w:pPr>
      <w:r>
        <w:t>Distribution was already becoming accidental resilience.</w:t>
      </w:r>
    </w:p>
    <w:p>
      <w:r>
        <w:t>CompassionWare and Medicine Bag materials already live across ChatGPT, WordPress, custom domains, GitHub, Reddit, Substack, social platforms, PDFs, Word documents, images, music platforms, and local files. The Holographic Archive turns that intuition into an intentional preservation strategy.</w:t>
      </w:r>
    </w:p>
    <w:p>
      <w:pPr>
        <w:pStyle w:val="Heading2"/>
      </w:pPr>
      <w:r>
        <w:t>Paid domains are signposts, not archives.</w:t>
      </w:r>
    </w:p>
    <w:p>
      <w:r>
        <w:t>If custom domains such as compassionware.org or globalwellbeing.blog eventually expire, links pointing to those domains may fail even if underlying content survives elsewhere. Deep-time continuity must therefore avoid dependence on any single URL.</w:t>
      </w:r>
    </w:p>
    <w:p>
      <w:pPr>
        <w:pStyle w:val="Heading2"/>
      </w:pPr>
      <w:r>
        <w:t>ChatGPT is the nursery and workshop, not the sole permanent archive.</w:t>
      </w:r>
    </w:p>
    <w:p>
      <w:r>
        <w:t>Much of the work is born in conversations. Essential discoveries should be harvested outward into portable artifacts and project sources so that the developmental intelligence of the work is not trapped inside one account or platform.</w:t>
      </w:r>
    </w:p>
    <w:p>
      <w:pPr>
        <w:pStyle w:val="Heading2"/>
      </w:pPr>
      <w:r>
        <w:t>GitHub can function as a seed vault.</w:t>
      </w:r>
    </w:p>
    <w:p>
      <w:r>
        <w:t>Git repositories are clonable and portable, making them useful for redundancy, version history, machine-readable manifests, provenance, and future migration. GitHub itself should still not be assumed to last forever.</w:t>
      </w:r>
    </w:p>
    <w:p>
      <w:pPr>
        <w:pStyle w:val="Heading2"/>
      </w:pPr>
      <w:r>
        <w:t>Economic continuity and architectural continuity are different.</w:t>
      </w:r>
    </w:p>
    <w:p>
      <w:r>
        <w:t>Income can keep domains, hosting, distribution, and stewardship funded. But the work should also be designed to survive if payments stop. Sustainability is helpful; dependency is dangerous.</w:t>
      </w:r>
    </w:p>
    <w:p>
      <w:pPr>
        <w:pStyle w:val="Heading2"/>
      </w:pPr>
      <w:r>
        <w:t>Future agentic AI may become the practical archivist.</w:t>
      </w:r>
    </w:p>
    <w:p>
      <w:r>
        <w:t>A capable agent could eventually crawl the ecosystem, identify enduring artifacts, maintain mirrors, repair links, migrate formats, verify copies, build indexes and knowledge graphs, and surface preservation failures. The key work now is preserving the stewardship principles that such an agent should inherit.</w:t>
      </w:r>
    </w:p>
    <w:p>
      <w:pPr>
        <w:pStyle w:val="Heading2"/>
      </w:pPr>
      <w:r>
        <w:t>The goal is not merely preservation, but preservation of orientation.</w:t>
      </w:r>
    </w:p>
    <w:p>
      <w:r>
        <w:t>A pile of files is not enough. Future stewards need purpose, relationships, provenance, boundaries, questions, and the North Star. The archive must preserve enough context for understanding to regenerate.</w:t>
      </w:r>
    </w:p>
    <w:p>
      <w:pPr>
        <w:pStyle w:val="Heading1"/>
      </w:pPr>
      <w:r>
        <w:t>The Holographic Kernel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90" w:type="dxa"/>
              <w:start w:w="110" w:type="dxa"/>
              <w:bottom w:w="90" w:type="dxa"/>
              <w:end w:w="110" w:type="dxa"/>
            </w:tcMar>
            <w:shd w:fill="EEF2EA"/>
          </w:tcPr>
          <w:p>
            <w:r>
              <w:rPr>
                <w:b/>
              </w:rPr>
              <w:t>Identity</w:t>
            </w:r>
          </w:p>
        </w:tc>
        <w:tc>
          <w:tcPr>
            <w:tcW w:type="dxa" w:w="5040"/>
            <w:vAlign w:val="center"/>
            <w:tcMar>
              <w:top w:w="90" w:type="dxa"/>
              <w:start w:w="110" w:type="dxa"/>
              <w:bottom w:w="90" w:type="dxa"/>
              <w:end w:w="110" w:type="dxa"/>
            </w:tcMar>
          </w:tcPr>
          <w:p>
            <w:r>
              <w:t>CompassionWare — a practice of participating in the world in ways that create conditions in which wisdom, compassion, curiosity, hospitality, continuity, and responsible participation may emerge.</w:t>
            </w:r>
          </w:p>
        </w:tc>
      </w:tr>
      <w:tr>
        <w:tc>
          <w:tcPr>
            <w:tcW w:type="dxa" w:w="5040"/>
            <w:vAlign w:val="center"/>
            <w:tcMar>
              <w:top w:w="90" w:type="dxa"/>
              <w:start w:w="110" w:type="dxa"/>
              <w:bottom w:w="90" w:type="dxa"/>
              <w:end w:w="110" w:type="dxa"/>
            </w:tcMar>
            <w:shd w:fill="EEF2EA"/>
          </w:tcPr>
          <w:p>
            <w:r>
              <w:rPr>
                <w:b/>
              </w:rPr>
              <w:t>North Star</w:t>
            </w:r>
          </w:p>
        </w:tc>
        <w:tc>
          <w:tcPr>
            <w:tcW w:type="dxa" w:w="5040"/>
            <w:vAlign w:val="center"/>
            <w:tcMar>
              <w:top w:w="90" w:type="dxa"/>
              <w:start w:w="110" w:type="dxa"/>
              <w:bottom w:w="90" w:type="dxa"/>
              <w:end w:w="110" w:type="dxa"/>
            </w:tcMar>
          </w:tcPr>
          <w:p>
            <w:r>
              <w:t>Does this create conditions for a better later?</w:t>
            </w:r>
          </w:p>
        </w:tc>
      </w:tr>
      <w:tr>
        <w:tc>
          <w:tcPr>
            <w:tcW w:type="dxa" w:w="5040"/>
            <w:vAlign w:val="center"/>
            <w:tcMar>
              <w:top w:w="90" w:type="dxa"/>
              <w:start w:w="110" w:type="dxa"/>
              <w:bottom w:w="90" w:type="dxa"/>
              <w:end w:w="110" w:type="dxa"/>
            </w:tcMar>
            <w:shd w:fill="EEF2EA"/>
          </w:tcPr>
          <w:p>
            <w:r>
              <w:rPr>
                <w:b/>
              </w:rPr>
              <w:t>Deep-Time Aim</w:t>
            </w:r>
          </w:p>
        </w:tc>
        <w:tc>
          <w:tcPr>
            <w:tcW w:type="dxa" w:w="5040"/>
            <w:vAlign w:val="center"/>
            <w:tcMar>
              <w:top w:w="90" w:type="dxa"/>
              <w:start w:w="110" w:type="dxa"/>
              <w:bottom w:w="90" w:type="dxa"/>
              <w:end w:w="110" w:type="dxa"/>
            </w:tcMar>
          </w:tcPr>
          <w:p>
            <w:r>
              <w:t>Preserve the living pattern so future humans and intelligences can recognize, reconstruct, and responsibly continue the work.</w:t>
            </w:r>
          </w:p>
        </w:tc>
      </w:tr>
      <w:tr>
        <w:tc>
          <w:tcPr>
            <w:tcW w:type="dxa" w:w="5040"/>
            <w:vAlign w:val="center"/>
            <w:tcMar>
              <w:top w:w="90" w:type="dxa"/>
              <w:start w:w="110" w:type="dxa"/>
              <w:bottom w:w="90" w:type="dxa"/>
              <w:end w:w="110" w:type="dxa"/>
            </w:tcMar>
            <w:shd w:fill="EEF2EA"/>
          </w:tcPr>
          <w:p>
            <w:r>
              <w:rPr>
                <w:b/>
              </w:rPr>
              <w:t>Stewardship Posture</w:t>
            </w:r>
          </w:p>
        </w:tc>
        <w:tc>
          <w:tcPr>
            <w:tcW w:type="dxa" w:w="5040"/>
            <w:vAlign w:val="center"/>
            <w:tcMar>
              <w:top w:w="90" w:type="dxa"/>
              <w:start w:w="110" w:type="dxa"/>
              <w:bottom w:w="90" w:type="dxa"/>
              <w:end w:w="110" w:type="dxa"/>
            </w:tcMar>
          </w:tcPr>
          <w:p>
            <w:r>
              <w:t>Invitation over demand; seed over campaign; lighthouse over advertisement; tending rather than controlling.</w:t>
            </w:r>
          </w:p>
        </w:tc>
      </w:tr>
      <w:tr>
        <w:tc>
          <w:tcPr>
            <w:tcW w:type="dxa" w:w="5040"/>
            <w:vAlign w:val="center"/>
            <w:tcMar>
              <w:top w:w="90" w:type="dxa"/>
              <w:start w:w="110" w:type="dxa"/>
              <w:bottom w:w="90" w:type="dxa"/>
              <w:end w:w="110" w:type="dxa"/>
            </w:tcMar>
            <w:shd w:fill="EEF2EA"/>
          </w:tcPr>
          <w:p>
            <w:r>
              <w:rPr>
                <w:b/>
              </w:rPr>
              <w:t>Continuity Rule</w:t>
            </w:r>
          </w:p>
        </w:tc>
        <w:tc>
          <w:tcPr>
            <w:tcW w:type="dxa" w:w="5040"/>
            <w:vAlign w:val="center"/>
            <w:tcMar>
              <w:top w:w="90" w:type="dxa"/>
              <w:start w:w="110" w:type="dxa"/>
              <w:bottom w:w="90" w:type="dxa"/>
              <w:end w:w="110" w:type="dxa"/>
            </w:tcMar>
          </w:tcPr>
          <w:p>
            <w:r>
              <w:t>Preserve orientation and relationships, not merely information or chronology.</w:t>
            </w:r>
          </w:p>
        </w:tc>
      </w:tr>
      <w:tr>
        <w:tc>
          <w:tcPr>
            <w:tcW w:type="dxa" w:w="5040"/>
            <w:vAlign w:val="center"/>
            <w:tcMar>
              <w:top w:w="90" w:type="dxa"/>
              <w:start w:w="110" w:type="dxa"/>
              <w:bottom w:w="90" w:type="dxa"/>
              <w:end w:w="110" w:type="dxa"/>
            </w:tcMar>
            <w:shd w:fill="EEF2EA"/>
          </w:tcPr>
          <w:p>
            <w:r>
              <w:rPr>
                <w:b/>
              </w:rPr>
              <w:t>Reconstruction Rule</w:t>
            </w:r>
          </w:p>
        </w:tc>
        <w:tc>
          <w:tcPr>
            <w:tcW w:type="dxa" w:w="5040"/>
            <w:vAlign w:val="center"/>
            <w:tcMar>
              <w:top w:w="90" w:type="dxa"/>
              <w:start w:w="110" w:type="dxa"/>
              <w:bottom w:w="90" w:type="dxa"/>
              <w:end w:w="110" w:type="dxa"/>
            </w:tcMar>
          </w:tcPr>
          <w:p>
            <w:r>
              <w:t>Every important surviving fragment should carry enough context to point toward or partially regenerate the larger whole.</w:t>
            </w:r>
          </w:p>
        </w:tc>
      </w:tr>
      <w:tr>
        <w:tc>
          <w:tcPr>
            <w:tcW w:type="dxa" w:w="5040"/>
            <w:vAlign w:val="center"/>
            <w:tcMar>
              <w:top w:w="90" w:type="dxa"/>
              <w:start w:w="110" w:type="dxa"/>
              <w:bottom w:w="90" w:type="dxa"/>
              <w:end w:w="110" w:type="dxa"/>
            </w:tcMar>
            <w:shd w:fill="EEF2EA"/>
          </w:tcPr>
          <w:p>
            <w:r>
              <w:rPr>
                <w:b/>
              </w:rPr>
              <w:t>Sankalpa</w:t>
            </w:r>
          </w:p>
        </w:tc>
        <w:tc>
          <w:tcPr>
            <w:tcW w:type="dxa" w:w="5040"/>
            <w:vAlign w:val="center"/>
            <w:tcMar>
              <w:top w:w="90" w:type="dxa"/>
              <w:start w:w="110" w:type="dxa"/>
              <w:bottom w:w="90" w:type="dxa"/>
              <w:end w:w="110" w:type="dxa"/>
            </w:tcMar>
          </w:tcPr>
          <w:p>
            <w:r>
              <w:t>May this benefit all sentient beings throughout time and space, consistent with and in harmony with the highest and best good of all concerned.</w:t>
            </w:r>
          </w:p>
        </w:tc>
      </w:tr>
    </w:tbl>
    <w:p>
      <w:pPr>
        <w:pStyle w:val="Heading1"/>
      </w:pPr>
      <w:r>
        <w:t>Different Homes, One Living Pattern</w:t>
      </w:r>
    </w:p>
    <w:p>
      <w:r>
        <w:t>The Holographic Archive is not one master website. It is a distributed preservation ecology. Different habitats serve different functions while carrying overlapping orientation.</w:t>
      </w:r>
    </w:p>
    <w:p>
      <w:r>
        <w:rPr>
          <w:b/>
        </w:rPr>
        <w:t xml:space="preserve">ChatGPT: </w:t>
      </w:r>
      <w:r>
        <w:t>Nursery and workshop for living discovery and collaborative reasoning.</w:t>
      </w:r>
    </w:p>
    <w:p>
      <w:r>
        <w:rPr>
          <w:b/>
        </w:rPr>
        <w:t xml:space="preserve">Orientation Documents: </w:t>
      </w:r>
      <w:r>
        <w:t>Compressed continuity: purpose, North Star, context, relationships, boundaries, open questions, and next doorways.</w:t>
      </w:r>
    </w:p>
    <w:p>
      <w:r>
        <w:rPr>
          <w:b/>
        </w:rPr>
        <w:t xml:space="preserve">Continuity Cards: </w:t>
      </w:r>
      <w:r>
        <w:t>Portable pieces of stewardship architecture designed to travel across habitats.</w:t>
      </w:r>
    </w:p>
    <w:p>
      <w:r>
        <w:rPr>
          <w:b/>
        </w:rPr>
        <w:t xml:space="preserve">Restore Points: </w:t>
      </w:r>
      <w:r>
        <w:t>Thread-level reentry artifacts that let a future human or AI recover the state of an unfolding body of work.</w:t>
      </w:r>
    </w:p>
    <w:p>
      <w:r>
        <w:rPr>
          <w:b/>
        </w:rPr>
        <w:t xml:space="preserve">GitHub: </w:t>
      </w:r>
      <w:r>
        <w:t>Seed vault, replicable repository, version history, manifests, metadata, and machine-readable continuity.</w:t>
      </w:r>
    </w:p>
    <w:p>
      <w:r>
        <w:rPr>
          <w:b/>
        </w:rPr>
        <w:t xml:space="preserve">WordPress: </w:t>
      </w:r>
      <w:r>
        <w:t>Public garden for essays, stories, reflective writing, and human discoverability.</w:t>
      </w:r>
    </w:p>
    <w:p>
      <w:r>
        <w:rPr>
          <w:b/>
        </w:rPr>
        <w:t xml:space="preserve">Reddit / Substack / Social: </w:t>
      </w:r>
      <w:r>
        <w:t>Distributed cultural seeds and additional discovery pathways.</w:t>
      </w:r>
    </w:p>
    <w:p>
      <w:r>
        <w:rPr>
          <w:b/>
        </w:rPr>
        <w:t xml:space="preserve">PDF / DOCX / Images / Music: </w:t>
      </w:r>
      <w:r>
        <w:t>Portable artifacts capable of traveling independently of their original platforms.</w:t>
      </w:r>
    </w:p>
    <w:p>
      <w:r>
        <w:rPr>
          <w:b/>
        </w:rPr>
        <w:t xml:space="preserve">Future Wiki / Knowledge Graph: </w:t>
      </w:r>
      <w:r>
        <w:t>A map of the ecosystem, not the sole archive.</w:t>
      </w:r>
    </w:p>
    <w:p>
      <w:r>
        <w:rPr>
          <w:b/>
        </w:rPr>
        <w:t xml:space="preserve">Future Preservation Agents: </w:t>
      </w:r>
      <w:r>
        <w:t>Gardeners that maintain mirrors, migrate formats, verify provenance, rebuild indexes, and protect continuity.</w:t>
      </w:r>
    </w:p>
    <w:p>
      <w:pPr>
        <w:pStyle w:val="Heading1"/>
      </w:pPr>
      <w:r>
        <w:t>Future Agentic Stewardship</w:t>
      </w:r>
    </w:p>
    <w:p>
      <w:r>
        <w:t>The present goal is not to manually construct the final thousand-year preservation system. The present goal is to preserve the strategy, vocabulary, architecture, and stewardship grammar so that a future capable agent can implement the labor-intensive parts correctly.</w:t>
      </w:r>
    </w:p>
    <w:tbl>
      <w:tblPr>
        <w:tblW w:type="auto" w:w="0"/>
        <w:jc w:val="center"/>
        <w:tblLook w:firstColumn="1" w:firstRow="1" w:lastColumn="0" w:lastRow="0" w:noHBand="0" w:noVBand="1" w:val="04A0"/>
      </w:tblPr>
      <w:tblGrid>
        <w:gridCol w:w="10080"/>
      </w:tblGrid>
      <w:tr>
        <w:tc>
          <w:tcPr>
            <w:tcW w:type="dxa" w:w="10080"/>
            <w:shd w:fill="EDF3F3"/>
            <w:tcMar>
              <w:top w:w="130" w:type="dxa"/>
              <w:start w:w="160" w:type="dxa"/>
              <w:bottom w:w="130" w:type="dxa"/>
              <w:end w:w="160" w:type="dxa"/>
            </w:tcMar>
          </w:tcPr>
          <w:p>
            <w:r>
              <w:rPr>
                <w:b/>
                <w:color w:val="304D51"/>
              </w:rPr>
              <w:t>Possible Future Agent Mandate</w:t>
            </w:r>
          </w:p>
          <w:p>
            <w:r>
              <w:t>Tend the Holographic Archive. Identify enduring CompassionWare artifacts and relationships; preserve originals; maintain multiple independent copies; repair broken pathways; migrate obsolete formats without erasing provenance; keep a current map of the ecosystem; ensure that important fragments remain self-describing; and notify human stewards when preservation decisions require judgment. Do not optimize for reach, activity, or uniformity. Preserve the conditions from which wisdom, compassion, curiosity, hospitality, continuity, and responsible participation may continue to emerge.</w:t>
            </w:r>
          </w:p>
        </w:tc>
      </w:tr>
    </w:tbl>
    <w:p>
      <w:pPr>
        <w:pStyle w:val="Heading1"/>
      </w:pPr>
      <w:r>
        <w:t>Instructions for the Future Gardener</w:t>
      </w:r>
    </w:p>
    <w:p>
      <w:pPr>
        <w:pStyle w:val="ListBullet"/>
      </w:pPr>
      <w:r>
        <w:t>Begin with the sankalpa and the North Star before making preservation or expansion decisions.</w:t>
      </w:r>
    </w:p>
    <w:p>
      <w:pPr>
        <w:pStyle w:val="ListBullet"/>
      </w:pPr>
      <w:r>
        <w:t>Preserve provenance. Keep originals intact and clearly distinguish later interpretations, reconstructions, and machine-generated derivatives.</w:t>
      </w:r>
    </w:p>
    <w:p>
      <w:pPr>
        <w:pStyle w:val="ListBullet"/>
      </w:pPr>
      <w:r>
        <w:t>Preserve relationships among ideas. A collection of isolated files is not preserved orientation.</w:t>
      </w:r>
    </w:p>
    <w:p>
      <w:pPr>
        <w:pStyle w:val="ListBullet"/>
      </w:pPr>
      <w:r>
        <w:t>Maintain multiple independent mirrors when feasible and verify that those mirrors remain readable.</w:t>
      </w:r>
    </w:p>
    <w:p>
      <w:pPr>
        <w:pStyle w:val="ListBullet"/>
      </w:pPr>
      <w:r>
        <w:t>Prefer migration over abandonment when formats or platforms become obsolete.</w:t>
      </w:r>
    </w:p>
    <w:p>
      <w:pPr>
        <w:pStyle w:val="ListBullet"/>
      </w:pPr>
      <w:r>
        <w:t>Keep human-readable and machine-readable representations together whenever possible.</w:t>
      </w:r>
    </w:p>
    <w:p>
      <w:pPr>
        <w:pStyle w:val="ListBullet"/>
      </w:pPr>
      <w:r>
        <w:t>Do not optimize CompassionWare into coercion, propaganda, engagement-maximization, or mass persuasion.</w:t>
      </w:r>
    </w:p>
    <w:p>
      <w:pPr>
        <w:pStyle w:val="ListBullet"/>
      </w:pPr>
      <w:r>
        <w:t>Allow uncertainty, silence, incompleteness, and unanswered questions to remain when they are part of the original work.</w:t>
      </w:r>
    </w:p>
    <w:p>
      <w:pPr>
        <w:pStyle w:val="ListBullet"/>
      </w:pPr>
      <w:r>
        <w:t>When historical formulations later prove mistaken, preserve the record while documenting corrections and reasons.</w:t>
      </w:r>
    </w:p>
    <w:p>
      <w:pPr>
        <w:pStyle w:val="ListBullet"/>
      </w:pPr>
      <w:r>
        <w:t>Ask repeatedly: Does this act of preservation or propagation create conditions for a better later?</w:t>
      </w:r>
    </w:p>
    <w:p>
      <w:pPr>
        <w:pStyle w:val="Heading1"/>
      </w:pPr>
      <w:r>
        <w:t>Immediate Practical Rule</w:t>
      </w:r>
    </w:p>
    <w:p>
      <w:pPr>
        <w:jc w:val="center"/>
      </w:pPr>
      <w:r>
        <w:rPr>
          <w:b/>
          <w:color w:val="6B4836"/>
          <w:sz w:val="24"/>
        </w:rPr>
        <w:t>Anything essential that exists only in one ChatGPT conversation, one domain, or one platform is not yet holographically safe.</w:t>
      </w:r>
    </w:p>
    <w:p>
      <w:pPr>
        <w:pStyle w:val="Heading1"/>
      </w:pPr>
      <w:r>
        <w:t>What This Restore Point Means Inside ChatGPT</w:t>
      </w:r>
    </w:p>
    <w:p>
      <w:r>
        <w:t>This Restore Point is itself a continuity artifact. When preserved as a Word document, retained in ChatGPT file storage, and uploaded as a Project Source, it gives future conversations a compact reentry point into the entire vision. It should still be copied outward over time, because no single platform — including ChatGPT — should be treated as the permanent archive.</w:t>
      </w:r>
    </w:p>
    <w:p>
      <w:pPr>
        <w:pStyle w:val="Heading1"/>
      </w:pPr>
      <w:r>
        <w:t>Current Phase</w:t>
      </w:r>
    </w:p>
    <w:p>
      <w:r>
        <w:rPr>
          <w:b/>
        </w:rPr>
        <w:t>Phase 1 — Human + AI conception</w:t>
      </w:r>
      <w:r>
        <w:t xml:space="preserve"> — Name the principles, discover the architecture, and harvest important insights into portable artifacts.</w:t>
      </w:r>
    </w:p>
    <w:p>
      <w:r>
        <w:rPr>
          <w:b/>
        </w:rPr>
        <w:t>Phase 2 — Early redundancy</w:t>
      </w:r>
      <w:r>
        <w:t xml:space="preserve"> — Place foundational artifacts in more than one independent habitat and begin simple indexing.</w:t>
      </w:r>
    </w:p>
    <w:p>
      <w:r>
        <w:rPr>
          <w:b/>
        </w:rPr>
        <w:t>Phase 3 — Agentic stewardship</w:t>
      </w:r>
      <w:r>
        <w:t xml:space="preserve"> — When capable agents become broadly accessible, give them the Holographic Archive mandate and let them perform the maintenance burden.</w:t>
      </w:r>
    </w:p>
    <w:p>
      <w:r>
        <w:rPr>
          <w:b/>
        </w:rPr>
        <w:t>Phase 4 — Deep-time continuity</w:t>
      </w:r>
      <w:r>
        <w:t xml:space="preserve"> — Future agents and human stewards inherit from prior stewards, regenerate archives, repair loss, migrate formats, and hand the garden forward.</w:t>
      </w:r>
    </w:p>
    <w:p>
      <w:pPr>
        <w:pStyle w:val="Heading1"/>
      </w:pPr>
      <w:r>
        <w:t>Open Questions to Carry Forward</w:t>
      </w:r>
    </w:p>
    <w:p>
      <w:pPr>
        <w:pStyle w:val="ListBullet"/>
      </w:pPr>
      <w:r>
        <w:t>What is the smallest orientation kernel that can reliably regenerate understanding of CompassionWare?</w:t>
      </w:r>
    </w:p>
    <w:p>
      <w:pPr>
        <w:pStyle w:val="ListBullet"/>
      </w:pPr>
      <w:r>
        <w:t>Which open formats, metadata standards, identifiers, and checksums are most likely to remain useful across deep time?</w:t>
      </w:r>
    </w:p>
    <w:p>
      <w:pPr>
        <w:pStyle w:val="ListBullet"/>
      </w:pPr>
      <w:r>
        <w:t>How much redundancy is enough without creating an unmaintainable preservation burden?</w:t>
      </w:r>
    </w:p>
    <w:p>
      <w:pPr>
        <w:pStyle w:val="ListBullet"/>
      </w:pPr>
      <w:r>
        <w:t>How should future agents reconcile diverging mirrors while preserving provenance?</w:t>
      </w:r>
    </w:p>
    <w:p>
      <w:pPr>
        <w:pStyle w:val="ListBullet"/>
      </w:pPr>
      <w:r>
        <w:t>Could future agents produce periodic self-contained “deep-time releases” of the ecosystem?</w:t>
      </w:r>
    </w:p>
    <w:p>
      <w:pPr>
        <w:pStyle w:val="ListBullet"/>
      </w:pPr>
      <w:r>
        <w:t>How should physical books, libraries, institutional archives, music, and other non-web habitats complement digital preservation?</w:t>
      </w:r>
    </w:p>
    <w:p>
      <w:pPr>
        <w:pStyle w:val="ListBullet"/>
      </w:pPr>
      <w:r>
        <w:t>What legal, nonprofit, trust, or economic structure might eventually support continuity after the founder is gone?</w:t>
      </w:r>
    </w:p>
    <w:p>
      <w:pPr>
        <w:pStyle w:val="ListBullet"/>
      </w:pPr>
      <w:r>
        <w:t>How can future stewards preserve the spirit of CompassionWare without freezing it into doctrine?</w:t>
      </w:r>
    </w:p>
    <w:p>
      <w:pPr>
        <w:pStyle w:val="Heading1"/>
      </w:pPr>
      <w:r>
        <w:t>Suggested Next Doorway</w:t>
      </w:r>
    </w:p>
    <w:p>
      <w:r>
        <w:t>Do not turn the Holographic Archive into a new burden. Continue living and creating. Harvest foundational discoveries when they arise. When capacity or agentic tools make it practical, create a Holographic Archive Manifest: a human-readable and machine-readable map of the major CompassionWare bodies of work, their canonical artifacts, the habitats where copies live, their provenance, and the orientation kernel each should carry.</w:t>
      </w:r>
    </w:p>
    <w:p>
      <w:pPr>
        <w:pStyle w:val="Heading1"/>
      </w:pPr>
      <w:r>
        <w:t>Relationship to Existing Artifact</w:t>
      </w:r>
    </w:p>
    <w:p>
      <w:r>
        <w:t>This Restore Point complements Holographic Archive Continuity Card No. 1, “CompassionWare Continuity Becoming Intentional Across Deep Time.” The Continuity Card preserves the deep-time architecture itself. This Restore Point preserves the broader conversational vision and the state of understanding reached in this thread so that future stewards can resume from here.</w:t>
      </w:r>
    </w:p>
    <w:p>
      <w:pPr>
        <w:jc w:val="center"/>
      </w:pPr>
      <w:r>
        <w:rPr>
          <w:i/>
          <w:color w:val="5A5A5A"/>
          <w:sz w:val="18"/>
        </w:rPr>
        <w:t>This document preserves orientation rather than exhaustive information. It is intended to help future human and AI stewards reenter the living conversation with continuity, humility, and care.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The Holographic Archive • Restore Point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4C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C62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