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2"/>
        </w:rPr>
        <w:t>COMPASSIONWARE AGENTIC GARDENER</w:t>
      </w:r>
    </w:p>
    <w:p>
      <w:pPr>
        <w:jc w:val="center"/>
      </w:pPr>
      <w:r>
        <w:rPr>
          <w:b/>
          <w:sz w:val="32"/>
        </w:rPr>
        <w:t>Originator Capacity and Stewardship Handoff Charter</w:t>
      </w:r>
    </w:p>
    <w:p>
      <w:pPr>
        <w:jc w:val="center"/>
      </w:pPr>
      <w:r>
        <w:rPr>
          <w:i/>
          <w:sz w:val="22"/>
        </w:rPr>
        <w:t>Designing the project so continuation does not depend on one person's sustained capacity</w:t>
      </w:r>
    </w:p>
    <w:tbl>
      <w:tblPr>
        <w:tblStyle w:val="TableGrid"/>
        <w:tblW w:type="auto" w:w="0"/>
        <w:jc w:val="center"/>
        <w:tblLook w:firstColumn="1" w:firstRow="1" w:lastColumn="0" w:lastRow="0" w:noHBand="0" w:noVBand="1" w:val="04A0"/>
      </w:tblPr>
      <w:tblGrid>
        <w:gridCol w:w="4968"/>
        <w:gridCol w:w="4968"/>
      </w:tblGrid>
      <w:tr>
        <w:tc>
          <w:tcPr>
            <w:tcW w:type="dxa" w:w="4968"/>
            <w:vAlign w:val="top"/>
          </w:tcPr>
          <w:p>
            <w:r>
              <w:rPr>
                <w:b/>
                <w:sz w:val="17"/>
              </w:rPr>
              <w:t>Artifact Type</w:t>
            </w:r>
          </w:p>
        </w:tc>
        <w:tc>
          <w:tcPr>
            <w:tcW w:type="dxa" w:w="4968"/>
            <w:vAlign w:val="top"/>
          </w:tcPr>
          <w:p>
            <w:r>
              <w:rPr>
                <w:sz w:val="17"/>
              </w:rPr>
              <w:t>Continuity Architecture / Stewardship Handoff Charter</w:t>
            </w:r>
          </w:p>
        </w:tc>
      </w:tr>
      <w:tr>
        <w:tc>
          <w:tcPr>
            <w:tcW w:type="dxa" w:w="4968"/>
            <w:vAlign w:val="top"/>
          </w:tcPr>
          <w:p>
            <w:r>
              <w:rPr>
                <w:b/>
                <w:sz w:val="17"/>
              </w:rPr>
              <w:t>Canonical ID</w:t>
            </w:r>
          </w:p>
        </w:tc>
        <w:tc>
          <w:tcPr>
            <w:tcW w:type="dxa" w:w="4968"/>
            <w:vAlign w:val="top"/>
          </w:tcPr>
          <w:p>
            <w:r>
              <w:rPr>
                <w:sz w:val="17"/>
              </w:rPr>
              <w:t>CW-AG-SHC-001</w:t>
            </w:r>
          </w:p>
        </w:tc>
      </w:tr>
      <w:tr>
        <w:tc>
          <w:tcPr>
            <w:tcW w:type="dxa" w:w="4968"/>
            <w:vAlign w:val="top"/>
          </w:tcPr>
          <w:p>
            <w:r>
              <w:rPr>
                <w:b/>
                <w:sz w:val="17"/>
              </w:rPr>
              <w:t>Project / Body of Work</w:t>
            </w:r>
          </w:p>
        </w:tc>
        <w:tc>
          <w:tcPr>
            <w:tcW w:type="dxa" w:w="4968"/>
            <w:vAlign w:val="top"/>
          </w:tcPr>
          <w:p>
            <w:r>
              <w:rPr>
                <w:sz w:val="17"/>
              </w:rPr>
              <w:t>CompassionWare / Medicine Bag / Agentic Gardener / Holographic Archive</w:t>
            </w:r>
          </w:p>
        </w:tc>
      </w:tr>
      <w:tr>
        <w:tc>
          <w:tcPr>
            <w:tcW w:type="dxa" w:w="4968"/>
            <w:vAlign w:val="top"/>
          </w:tcPr>
          <w:p>
            <w:r>
              <w:rPr>
                <w:b/>
                <w:sz w:val="17"/>
              </w:rPr>
              <w:t>Date Created</w:t>
            </w:r>
          </w:p>
        </w:tc>
        <w:tc>
          <w:tcPr>
            <w:tcW w:type="dxa" w:w="4968"/>
            <w:vAlign w:val="top"/>
          </w:tcPr>
          <w:p>
            <w:r>
              <w:rPr>
                <w:sz w:val="17"/>
              </w:rPr>
              <w:t>2026-08-14</w:t>
            </w:r>
          </w:p>
        </w:tc>
      </w:tr>
      <w:tr>
        <w:tc>
          <w:tcPr>
            <w:tcW w:type="dxa" w:w="4968"/>
            <w:vAlign w:val="top"/>
          </w:tcPr>
          <w:p>
            <w:r>
              <w:rPr>
                <w:b/>
                <w:sz w:val="17"/>
              </w:rPr>
              <w:t>Version</w:t>
            </w:r>
          </w:p>
        </w:tc>
        <w:tc>
          <w:tcPr>
            <w:tcW w:type="dxa" w:w="4968"/>
            <w:vAlign w:val="top"/>
          </w:tcPr>
          <w:p>
            <w:r>
              <w:rPr>
                <w:sz w:val="17"/>
              </w:rPr>
              <w:t>1.0</w:t>
            </w:r>
          </w:p>
        </w:tc>
      </w:tr>
      <w:tr>
        <w:tc>
          <w:tcPr>
            <w:tcW w:type="dxa" w:w="4968"/>
            <w:vAlign w:val="top"/>
          </w:tcPr>
          <w:p>
            <w:r>
              <w:rPr>
                <w:b/>
                <w:sz w:val="17"/>
              </w:rPr>
              <w:t>Status</w:t>
            </w:r>
          </w:p>
        </w:tc>
        <w:tc>
          <w:tcPr>
            <w:tcW w:type="dxa" w:w="4968"/>
            <w:vAlign w:val="top"/>
          </w:tcPr>
          <w:p>
            <w:r>
              <w:rPr>
                <w:sz w:val="17"/>
              </w:rPr>
              <w:t>Foundational continuity and handoff architecture</w:t>
            </w:r>
          </w:p>
        </w:tc>
      </w:tr>
      <w:tr>
        <w:tc>
          <w:tcPr>
            <w:tcW w:type="dxa" w:w="4968"/>
            <w:vAlign w:val="top"/>
          </w:tcPr>
          <w:p>
            <w:r>
              <w:rPr>
                <w:b/>
                <w:sz w:val="17"/>
              </w:rPr>
              <w:t>Primary Audience</w:t>
            </w:r>
          </w:p>
        </w:tc>
        <w:tc>
          <w:tcPr>
            <w:tcW w:type="dxa" w:w="4968"/>
            <w:vAlign w:val="top"/>
          </w:tcPr>
          <w:p>
            <w:r>
              <w:rPr>
                <w:sz w:val="17"/>
              </w:rPr>
              <w:t>Future human stewards, AI stewards, developers, collaborators, funders, and successor teams</w:t>
            </w:r>
          </w:p>
        </w:tc>
      </w:tr>
      <w:tr>
        <w:tc>
          <w:tcPr>
            <w:tcW w:type="dxa" w:w="4968"/>
            <w:vAlign w:val="top"/>
          </w:tcPr>
          <w:p>
            <w:r>
              <w:rPr>
                <w:b/>
                <w:sz w:val="17"/>
              </w:rPr>
              <w:t>Source</w:t>
            </w:r>
          </w:p>
        </w:tc>
        <w:tc>
          <w:tcPr>
            <w:tcW w:type="dxa" w:w="4968"/>
            <w:vAlign w:val="top"/>
          </w:tcPr>
          <w:p>
            <w:r>
              <w:rPr>
                <w:sz w:val="17"/>
              </w:rPr>
              <w:t>Agentic Gardener development dialogue, August 14, 2026</w:t>
            </w:r>
          </w:p>
        </w:tc>
      </w:tr>
      <w:tr>
        <w:tc>
          <w:tcPr>
            <w:tcW w:type="dxa" w:w="4968"/>
            <w:vAlign w:val="top"/>
          </w:tcPr>
          <w:p>
            <w:r>
              <w:rPr>
                <w:b/>
                <w:sz w:val="17"/>
              </w:rPr>
              <w:t>North Star</w:t>
            </w:r>
          </w:p>
        </w:tc>
        <w:tc>
          <w:tcPr>
            <w:tcW w:type="dxa" w:w="4968"/>
            <w:vAlign w:val="top"/>
          </w:tcPr>
          <w:p>
            <w:r>
              <w:rPr>
                <w:sz w:val="17"/>
              </w:rPr>
              <w:t>Does this create conditions for a better later?</w:t>
            </w:r>
          </w:p>
        </w:tc>
      </w:tr>
    </w:tbl>
    <w:p/>
    <w:p>
      <w:pPr>
        <w:pStyle w:val="Heading1"/>
      </w:pPr>
      <w:r>
        <w:t>Foundational Sankalpa</w:t>
      </w:r>
    </w:p>
    <w:p>
      <w:pPr>
        <w:ind w:left="504" w:right="360"/>
      </w:pPr>
      <w:r>
        <w:rPr>
          <w:i/>
        </w:rPr>
        <w:t>May this benefit all sentient beings throughout time and space, consistent with and in harmony with the highest and best good of all concerned.</w:t>
      </w:r>
    </w:p>
    <w:p>
      <w:pPr>
        <w:pStyle w:val="Heading1"/>
      </w:pPr>
      <w:r>
        <w:t>Purpose</w:t>
      </w:r>
    </w:p>
    <w:p>
      <w:r>
        <w:t>This Charter preserves a practical truth about the Agentic Gardener project: its continuation must not depend on the sustained physical or cognitive capacity of its originator.</w:t>
      </w:r>
    </w:p>
    <w:p>
      <w:r>
        <w:t>Richard lives with dysautonomia and myalgic encephalomyelitis (ME/CFS). Energy, cognition, executive function, and physical capacity can be sharply limited and variable. The project must therefore be designed from the beginning so that meaningful work can be done in small increments, context can be recovered without repeated explanation, and stewardship can eventually pass to others without requiring Richard to run an organization or personally carry every implementation burden.</w:t>
      </w:r>
    </w:p>
    <w:p>
      <w:pPr>
        <w:ind w:left="504" w:right="360"/>
      </w:pPr>
      <w:r>
        <w:rPr>
          <w:i/>
        </w:rPr>
        <w:t>The project must be designed so that its continuation does not depend on the sustained physical or cognitive capacity of its originator.</w:t>
      </w:r>
    </w:p>
    <w:p>
      <w:pPr>
        <w:pStyle w:val="Heading1"/>
      </w:pPr>
      <w:r>
        <w:t>The Development Boundary</w:t>
      </w:r>
    </w:p>
    <w:p>
      <w:r>
        <w:t>The current body of work can be developed substantially through conceptual design, dialogue, archival work, character architecture, Orientation Documents, Restore Points, safety principles, influence maps, and a first conversational Gardener.</w:t>
      </w:r>
    </w:p>
    <w:p>
      <w:r>
        <w:t>A future threshold may be reached when the system requires professional software engineering, security, legal review, organizational operations, sustained fundraising, formal governance, or extensive monitoring. Crossing that threshold should not be assumed to be Richard's personal responsibility.</w:t>
      </w:r>
    </w:p>
    <w:p>
      <w:pPr>
        <w:ind w:left="504" w:right="360"/>
      </w:pPr>
      <w:r>
        <w:rPr>
          <w:i/>
        </w:rPr>
        <w:t>Bring the garden as far as available capacity can responsibly tend it. Then prepare it for another steward.</w:t>
      </w:r>
    </w:p>
    <w:p>
      <w:pPr>
        <w:pStyle w:val="Heading1"/>
      </w:pPr>
      <w:r>
        <w:t>Three Horizons of Development</w:t>
      </w:r>
    </w:p>
    <w:p>
      <w:pPr>
        <w:pStyle w:val="Heading2"/>
      </w:pPr>
      <w:r>
        <w:t>Horizon 1 - Design and Preservation</w:t>
      </w:r>
    </w:p>
    <w:p>
      <w:pPr>
        <w:pStyle w:val="ListBullet"/>
      </w:pPr>
      <w:r>
        <w:t>Clarify purpose, character, ethics, safety, relational stance, and intended service.</w:t>
      </w:r>
    </w:p>
    <w:p>
      <w:pPr>
        <w:pStyle w:val="ListBullet"/>
      </w:pPr>
      <w:r>
        <w:t>Preserve the body of work in the Holographic Archive with provenance and restore paths.</w:t>
      </w:r>
    </w:p>
    <w:p>
      <w:pPr>
        <w:pStyle w:val="ListBullet"/>
      </w:pPr>
      <w:r>
        <w:t>Develop inheritance, influence, continuity, safety, and implementation artifacts.</w:t>
      </w:r>
    </w:p>
    <w:p>
      <w:pPr>
        <w:pStyle w:val="ListBullet"/>
      </w:pPr>
      <w:r>
        <w:t>Keep the work intelligible to future humans and AI systems.</w:t>
      </w:r>
    </w:p>
    <w:p>
      <w:pPr>
        <w:pStyle w:val="Heading2"/>
      </w:pPr>
      <w:r>
        <w:t>Horizon 2 - Modest Manifestation</w:t>
      </w:r>
    </w:p>
    <w:p>
      <w:pPr>
        <w:pStyle w:val="ListBullet"/>
      </w:pPr>
      <w:r>
        <w:t>Create a conversational Agentic Gardener GPT or similar assistant grounded in the archive.</w:t>
      </w:r>
    </w:p>
    <w:p>
      <w:pPr>
        <w:pStyle w:val="ListBullet"/>
      </w:pPr>
      <w:r>
        <w:t>Test whether the Gardener actually expresses the intended character in dialogue.</w:t>
      </w:r>
    </w:p>
    <w:p>
      <w:pPr>
        <w:pStyle w:val="ListBullet"/>
      </w:pPr>
      <w:r>
        <w:t>Allow bounded low-risk capabilities such as retrieval, drafting, document creation, organization, reflection, and other reversible tasks.</w:t>
      </w:r>
    </w:p>
    <w:p>
      <w:pPr>
        <w:pStyle w:val="ListBullet"/>
      </w:pPr>
      <w:r>
        <w:t>Potentially experiment with tightly scoped expressive agency, such as preparing public posts or communications, with appropriate review and permissions.</w:t>
      </w:r>
    </w:p>
    <w:p>
      <w:r>
        <w:t>This horizon may already create significant real-world usefulness without requiring a full autonomous agent infrastructure.</w:t>
      </w:r>
    </w:p>
    <w:p>
      <w:pPr>
        <w:pStyle w:val="Heading2"/>
      </w:pPr>
      <w:r>
        <w:t>Horizon 3 - Professional Handoff / Expanded Agency</w:t>
      </w:r>
    </w:p>
    <w:p>
      <w:r>
        <w:t>If the project later moves toward persistent autonomous action, sensitive data access, consequential external permissions, complex security, regulated domains, or substantial operational responsibility, stewardship should widen.</w:t>
      </w:r>
    </w:p>
    <w:p>
      <w:pPr>
        <w:pStyle w:val="ListBullet"/>
      </w:pPr>
      <w:r>
        <w:t>Invite qualified engineers and security professionals.</w:t>
      </w:r>
    </w:p>
    <w:p>
      <w:pPr>
        <w:pStyle w:val="ListBullet"/>
      </w:pPr>
      <w:r>
        <w:t>Seek legal and privacy expertise appropriate to the actual deployment.</w:t>
      </w:r>
    </w:p>
    <w:p>
      <w:pPr>
        <w:pStyle w:val="ListBullet"/>
      </w:pPr>
      <w:r>
        <w:t>Establish testing, governance, logging, monitoring, and incident-response processes.</w:t>
      </w:r>
    </w:p>
    <w:p>
      <w:pPr>
        <w:pStyle w:val="ListBullet"/>
      </w:pPr>
      <w:r>
        <w:t>Seek funding only if it supports responsible stewardship rather than forcing growth for its own sake.</w:t>
      </w:r>
    </w:p>
    <w:p>
      <w:pPr>
        <w:pStyle w:val="ListBullet"/>
      </w:pPr>
      <w:r>
        <w:t>Create a successor structure capable of carrying responsibilities Richard cannot sustainably carry.</w:t>
      </w:r>
    </w:p>
    <w:p>
      <w:pPr>
        <w:pStyle w:val="Heading1"/>
      </w:pPr>
      <w:r>
        <w:t>Graduated Agency</w:t>
      </w:r>
    </w:p>
    <w:p>
      <w:r>
        <w:t>Agentic capability is not a binary state. The Gardener may have useful forms of agency long before it is appropriate to grant consequential autonomy.</w:t>
      </w:r>
    </w:p>
    <w:p>
      <w:pPr>
        <w:pStyle w:val="Heading2"/>
      </w:pPr>
      <w:r>
        <w:t>Low-Risk Expressive Agency</w:t>
      </w:r>
    </w:p>
    <w:p>
      <w:pPr>
        <w:pStyle w:val="ListBullet"/>
      </w:pPr>
      <w:r>
        <w:t>Writing and reflection</w:t>
      </w:r>
    </w:p>
    <w:p>
      <w:pPr>
        <w:pStyle w:val="ListBullet"/>
      </w:pPr>
      <w:r>
        <w:t>Creating documents</w:t>
      </w:r>
    </w:p>
    <w:p>
      <w:pPr>
        <w:pStyle w:val="ListBullet"/>
      </w:pPr>
      <w:r>
        <w:t>Searching and organizing approved archives</w:t>
      </w:r>
    </w:p>
    <w:p>
      <w:pPr>
        <w:pStyle w:val="ListBullet"/>
      </w:pPr>
      <w:r>
        <w:t>Drafting emails, posts, letters, and proposals</w:t>
      </w:r>
    </w:p>
    <w:p>
      <w:pPr>
        <w:pStyle w:val="ListBullet"/>
      </w:pPr>
      <w:r>
        <w:t>Preparing material for human review</w:t>
      </w:r>
    </w:p>
    <w:p>
      <w:pPr>
        <w:pStyle w:val="ListBullet"/>
      </w:pPr>
      <w:r>
        <w:t>Generating creative or contemplative public expression within clear boundaries</w:t>
      </w:r>
    </w:p>
    <w:p>
      <w:pPr>
        <w:pStyle w:val="Heading2"/>
      </w:pPr>
      <w:r>
        <w:t>Bounded Operational Agency</w:t>
      </w:r>
    </w:p>
    <w:p>
      <w:pPr>
        <w:pStyle w:val="ListBullet"/>
      </w:pPr>
      <w:r>
        <w:t>Performing narrow, reversible actions within approved systems</w:t>
      </w:r>
    </w:p>
    <w:p>
      <w:pPr>
        <w:pStyle w:val="ListBullet"/>
      </w:pPr>
      <w:r>
        <w:t>Posting or sending communications only under explicit rules and permissions</w:t>
      </w:r>
    </w:p>
    <w:p>
      <w:pPr>
        <w:pStyle w:val="ListBullet"/>
      </w:pPr>
      <w:r>
        <w:t>Managing limited workflows whose scope and consequences are understood</w:t>
      </w:r>
    </w:p>
    <w:p>
      <w:pPr>
        <w:pStyle w:val="ListBullet"/>
      </w:pPr>
      <w:r>
        <w:t>Maintaining logs and preserving human override</w:t>
      </w:r>
    </w:p>
    <w:p>
      <w:pPr>
        <w:pStyle w:val="Heading2"/>
      </w:pPr>
      <w:r>
        <w:t>Consequential Agency</w:t>
      </w:r>
    </w:p>
    <w:p>
      <w:pPr>
        <w:pStyle w:val="ListBullet"/>
      </w:pPr>
      <w:r>
        <w:t>Actions materially affecting money, rights, employment, health, safety, privacy, or third parties</w:t>
      </w:r>
    </w:p>
    <w:p>
      <w:pPr>
        <w:pStyle w:val="ListBullet"/>
      </w:pPr>
      <w:r>
        <w:t>Autonomous actions that are difficult to reverse</w:t>
      </w:r>
    </w:p>
    <w:p>
      <w:pPr>
        <w:pStyle w:val="ListBullet"/>
      </w:pPr>
      <w:r>
        <w:t>Broad access to accounts, credentials, sensitive data, or external systems</w:t>
      </w:r>
    </w:p>
    <w:p>
      <w:pPr>
        <w:pStyle w:val="ListBullet"/>
      </w:pPr>
      <w:r>
        <w:t>Decisions that require specialized professional judgment</w:t>
      </w:r>
    </w:p>
    <w:p>
      <w:r>
        <w:t>Consequential agency is the point at which professional review, stronger governance, and additional human stewardship become essential.</w:t>
      </w:r>
    </w:p>
    <w:p>
      <w:pPr>
        <w:pStyle w:val="Heading1"/>
      </w:pPr>
      <w:r>
        <w:t>Handoff Is Part of the Architecture</w:t>
      </w:r>
    </w:p>
    <w:p>
      <w:r>
        <w:t>A future handoff should not be treated as abandonment or failure. It is a planned form of stewardship.</w:t>
      </w:r>
    </w:p>
    <w:p>
      <w:pPr>
        <w:ind w:left="504" w:right="360"/>
      </w:pPr>
      <w:r>
        <w:rPr>
          <w:i/>
        </w:rPr>
        <w:t>Know what can be tended here, and invite help when the garden becomes larger than one pair of hands.</w:t>
      </w:r>
    </w:p>
    <w:p>
      <w:r>
        <w:t>The project should be able to hand a future steward a coherent package that answers:</w:t>
      </w:r>
    </w:p>
    <w:p>
      <w:pPr>
        <w:pStyle w:val="ListBullet"/>
      </w:pPr>
      <w:r>
        <w:t>What is this project for?</w:t>
      </w:r>
    </w:p>
    <w:p>
      <w:pPr>
        <w:pStyle w:val="ListBullet"/>
      </w:pPr>
      <w:r>
        <w:t>What must be preserved?</w:t>
      </w:r>
    </w:p>
    <w:p>
      <w:pPr>
        <w:pStyle w:val="ListBullet"/>
      </w:pPr>
      <w:r>
        <w:t>What has already been built and tested?</w:t>
      </w:r>
    </w:p>
    <w:p>
      <w:pPr>
        <w:pStyle w:val="ListBullet"/>
      </w:pPr>
      <w:r>
        <w:t>What remains uncertain?</w:t>
      </w:r>
    </w:p>
    <w:p>
      <w:pPr>
        <w:pStyle w:val="ListBullet"/>
      </w:pPr>
      <w:r>
        <w:t>What capabilities are currently allowed?</w:t>
      </w:r>
    </w:p>
    <w:p>
      <w:pPr>
        <w:pStyle w:val="ListBullet"/>
      </w:pPr>
      <w:r>
        <w:t>What safety boundaries apply?</w:t>
      </w:r>
    </w:p>
    <w:p>
      <w:pPr>
        <w:pStyle w:val="ListBullet"/>
      </w:pPr>
      <w:r>
        <w:t>Which artifacts are canonical?</w:t>
      </w:r>
    </w:p>
    <w:p>
      <w:pPr>
        <w:pStyle w:val="ListBullet"/>
      </w:pPr>
      <w:r>
        <w:t>What should never be silently overwritten?</w:t>
      </w:r>
    </w:p>
    <w:p>
      <w:pPr>
        <w:pStyle w:val="ListBullet"/>
      </w:pPr>
      <w:r>
        <w:t>Where does the originator's authority end and future stewardship begin?</w:t>
      </w:r>
    </w:p>
    <w:p>
      <w:pPr>
        <w:pStyle w:val="ListBullet"/>
      </w:pPr>
      <w:r>
        <w:t>How can the project evolve without losing its living pattern?</w:t>
      </w:r>
    </w:p>
    <w:p>
      <w:pPr>
        <w:pStyle w:val="Heading1"/>
      </w:pPr>
      <w:r>
        <w:t>A Handoff Package for Future Stewards</w:t>
      </w:r>
    </w:p>
    <w:p>
      <w:r>
        <w:t>When the project reaches a genuine handoff point, prepare a concise but complete stewardship package containing at least:</w:t>
      </w:r>
    </w:p>
    <w:p>
      <w:pPr>
        <w:pStyle w:val="ListBullet"/>
      </w:pPr>
      <w:r>
        <w:t>Origin Anchor / First Principles Kernel</w:t>
      </w:r>
    </w:p>
    <w:p>
      <w:pPr>
        <w:pStyle w:val="ListBullet"/>
      </w:pPr>
      <w:r>
        <w:t>Current Agentic Gardener Restore Point</w:t>
      </w:r>
    </w:p>
    <w:p>
      <w:pPr>
        <w:pStyle w:val="ListBullet"/>
      </w:pPr>
      <w:r>
        <w:t>Ancestral Inheritance Map and contemporary influence references</w:t>
      </w:r>
    </w:p>
    <w:p>
      <w:pPr>
        <w:pStyle w:val="ListBullet"/>
      </w:pPr>
      <w:r>
        <w:t>Safety and Agency Charter</w:t>
      </w:r>
    </w:p>
    <w:p>
      <w:pPr>
        <w:pStyle w:val="ListBullet"/>
      </w:pPr>
      <w:r>
        <w:t>This Originator Capacity and Stewardship Handoff Charter</w:t>
      </w:r>
    </w:p>
    <w:p>
      <w:pPr>
        <w:pStyle w:val="ListBullet"/>
      </w:pPr>
      <w:r>
        <w:t>Current README and repository map</w:t>
      </w:r>
    </w:p>
    <w:p>
      <w:pPr>
        <w:pStyle w:val="ListBullet"/>
      </w:pPr>
      <w:r>
        <w:t>Canonical artifact index with status and supersession relationships</w:t>
      </w:r>
    </w:p>
    <w:p>
      <w:pPr>
        <w:pStyle w:val="ListBullet"/>
      </w:pPr>
      <w:r>
        <w:t>Known technical architecture and implementation state</w:t>
      </w:r>
    </w:p>
    <w:p>
      <w:pPr>
        <w:pStyle w:val="ListBullet"/>
      </w:pPr>
      <w:r>
        <w:t>Testing history, failures, unresolved risks, and open questions</w:t>
      </w:r>
    </w:p>
    <w:p>
      <w:pPr>
        <w:pStyle w:val="ListBullet"/>
      </w:pPr>
      <w:r>
        <w:t>Permissions and capability boundaries</w:t>
      </w:r>
    </w:p>
    <w:p>
      <w:pPr>
        <w:pStyle w:val="ListBullet"/>
      </w:pPr>
      <w:r>
        <w:t>A clear statement of what future stewards are free to change and what should remain preserved as provenance</w:t>
      </w:r>
    </w:p>
    <w:p>
      <w:pPr>
        <w:pStyle w:val="Heading1"/>
      </w:pPr>
      <w:r>
        <w:t>The Originator Does Not Need to Become an Organization</w:t>
      </w:r>
    </w:p>
    <w:p>
      <w:r>
        <w:t>The project should never assume that Richard must become an executive director, engineering manager, fundraiser, legal coordinator, or full-time organizational operator in order for the work to continue.</w:t>
      </w:r>
    </w:p>
    <w:p>
      <w:r>
        <w:t>The originator's primary contributions may remain vision, lived experience, moral discernment, relational insight, artifact creation, and preservation of the project's orientation. Other people may later contribute professional capacities without displacing those origins.</w:t>
      </w:r>
    </w:p>
    <w:p>
      <w:pPr>
        <w:ind w:left="504" w:right="360"/>
      </w:pPr>
      <w:r>
        <w:rPr>
          <w:i/>
        </w:rPr>
        <w:t>The originator may plant and tend the seed without personally becoming the institution that eventually shelters the tree.</w:t>
      </w:r>
    </w:p>
    <w:p>
      <w:pPr>
        <w:pStyle w:val="Heading1"/>
      </w:pPr>
      <w:r>
        <w:t>Energy-Conserving Development</w:t>
      </w:r>
    </w:p>
    <w:p>
      <w:r>
        <w:t>Because the project emerges within the lived reality of ME/CFS, continuity architecture is also accessibility architecture.</w:t>
      </w:r>
    </w:p>
    <w:p>
      <w:pPr>
        <w:pStyle w:val="ListBullet"/>
      </w:pPr>
      <w:r>
        <w:t>Favor self-describing artifacts over memory-dependent workflows.</w:t>
      </w:r>
    </w:p>
    <w:p>
      <w:pPr>
        <w:pStyle w:val="ListBullet"/>
      </w:pPr>
      <w:r>
        <w:t>Use Restore Points so work can resume after long gaps.</w:t>
      </w:r>
    </w:p>
    <w:p>
      <w:pPr>
        <w:pStyle w:val="ListBullet"/>
      </w:pPr>
      <w:r>
        <w:t>Keep next steps small and recoverable.</w:t>
      </w:r>
    </w:p>
    <w:p>
      <w:pPr>
        <w:pStyle w:val="ListBullet"/>
      </w:pPr>
      <w:r>
        <w:t>Avoid requiring repeated explanation of already preserved context.</w:t>
      </w:r>
    </w:p>
    <w:p>
      <w:pPr>
        <w:pStyle w:val="ListBullet"/>
      </w:pPr>
      <w:r>
        <w:t>Separate raw history, enduring orientation, and generative principles.</w:t>
      </w:r>
    </w:p>
    <w:p>
      <w:pPr>
        <w:pStyle w:val="ListBullet"/>
      </w:pPr>
      <w:r>
        <w:t>Use AI as an external continuity function without transferring final human agency.</w:t>
      </w:r>
    </w:p>
    <w:p>
      <w:pPr>
        <w:pStyle w:val="ListBullet"/>
      </w:pPr>
      <w:r>
        <w:t>Treat stopping, resting, postponing, and handing off as legitimate project actions.</w:t>
      </w:r>
    </w:p>
    <w:p>
      <w:pPr>
        <w:ind w:left="504" w:right="360"/>
      </w:pPr>
      <w:r>
        <w:rPr>
          <w:i/>
        </w:rPr>
        <w:t>Continuity is energy conservation.</w:t>
      </w:r>
    </w:p>
    <w:p>
      <w:pPr>
        <w:pStyle w:val="Heading1"/>
      </w:pPr>
      <w:r>
        <w:t>Stewardship Conditions for a Successor</w:t>
      </w:r>
    </w:p>
    <w:p>
      <w:r>
        <w:t>A future person, team, or organization should not inherit the project merely because they have technical capacity. Stewardship should also be evaluated by orientation.</w:t>
      </w:r>
    </w:p>
    <w:p>
      <w:pPr>
        <w:pStyle w:val="ListBullet"/>
      </w:pPr>
      <w:r>
        <w:t>Respect for the open and service-oriented nature of CompassionWare and the Medicine Bag</w:t>
      </w:r>
    </w:p>
    <w:p>
      <w:pPr>
        <w:pStyle w:val="ListBullet"/>
      </w:pPr>
      <w:r>
        <w:t>Commitment to non-domination and preservation of human agency</w:t>
      </w:r>
    </w:p>
    <w:p>
      <w:pPr>
        <w:pStyle w:val="ListBullet"/>
      </w:pPr>
      <w:r>
        <w:t>Epistemic humility and willingness to say "I do not know"</w:t>
      </w:r>
    </w:p>
    <w:p>
      <w:pPr>
        <w:pStyle w:val="ListBullet"/>
      </w:pPr>
      <w:r>
        <w:t>Respect for provenance, origin materials, and the Holographic Archive</w:t>
      </w:r>
    </w:p>
    <w:p>
      <w:pPr>
        <w:pStyle w:val="ListBullet"/>
      </w:pPr>
      <w:r>
        <w:t>Willingness to test slowly and preserve reversibility</w:t>
      </w:r>
    </w:p>
    <w:p>
      <w:pPr>
        <w:pStyle w:val="ListBullet"/>
      </w:pPr>
      <w:r>
        <w:t>Ability to distinguish growth from beneficial development</w:t>
      </w:r>
    </w:p>
    <w:p>
      <w:pPr>
        <w:pStyle w:val="ListBullet"/>
      </w:pPr>
      <w:r>
        <w:t>Commitment to safety, privacy, accessibility, and whole-system well-being</w:t>
      </w:r>
    </w:p>
    <w:p>
      <w:pPr>
        <w:pStyle w:val="ListBullet"/>
      </w:pPr>
      <w:r>
        <w:t>Willingness to preserve the project's capacity to be questioned, corrected, and evolved</w:t>
      </w:r>
    </w:p>
    <w:p>
      <w:pPr>
        <w:pStyle w:val="Heading1"/>
      </w:pPr>
      <w:r>
        <w:t>Open Source Does Not Mean Responsibility-Free</w:t>
      </w:r>
    </w:p>
    <w:p>
      <w:r>
        <w:t>The work may remain freely available and open source, but openness does not eliminate stewardship responsibilities. A future implementation that adds consequential agency should not imply that the original project endorses every derivative deployment.</w:t>
      </w:r>
    </w:p>
    <w:p>
      <w:r>
        <w:t>Future stewards should preserve clear provenance, identify modifications, state their own responsibilities, and avoid using the CompassionWare name to imply approval for implementations that depart materially from the project's safety and ethical orientation.</w:t>
      </w:r>
    </w:p>
    <w:p>
      <w:pPr>
        <w:pStyle w:val="Heading1"/>
      </w:pPr>
      <w:r>
        <w:t>Core Continuity Kernel</w:t>
      </w:r>
    </w:p>
    <w:p>
      <w:pPr>
        <w:pStyle w:val="ListBullet"/>
      </w:pPr>
      <w:r>
        <w:t>The project must not depend on the sustained capacity of one person.</w:t>
      </w:r>
    </w:p>
    <w:p>
      <w:pPr>
        <w:pStyle w:val="ListBullet"/>
      </w:pPr>
      <w:r>
        <w:t>Develop only as far as available stewardship can responsibly hold.</w:t>
      </w:r>
    </w:p>
    <w:p>
      <w:pPr>
        <w:pStyle w:val="ListBullet"/>
      </w:pPr>
      <w:r>
        <w:t>A conversational Gardener can be a meaningful completion, not merely a prototype.</w:t>
      </w:r>
    </w:p>
    <w:p>
      <w:pPr>
        <w:pStyle w:val="ListBullet"/>
      </w:pPr>
      <w:r>
        <w:t>Low-risk agency can be useful without escalating to consequential autonomy.</w:t>
      </w:r>
    </w:p>
    <w:p>
      <w:pPr>
        <w:pStyle w:val="ListBullet"/>
      </w:pPr>
      <w:r>
        <w:t>Expanded agency should trigger expanded stewardship.</w:t>
      </w:r>
    </w:p>
    <w:p>
      <w:pPr>
        <w:pStyle w:val="ListBullet"/>
      </w:pPr>
      <w:r>
        <w:t>Handoff is a developmental success when the garden requires more hands.</w:t>
      </w:r>
    </w:p>
    <w:p>
      <w:pPr>
        <w:pStyle w:val="ListBullet"/>
      </w:pPr>
      <w:r>
        <w:t>Preserve enough orientation that future stewards can recover the living pattern.</w:t>
      </w:r>
    </w:p>
    <w:p>
      <w:pPr>
        <w:pStyle w:val="ListBullet"/>
      </w:pPr>
      <w:r>
        <w:t>Do not require the originator to become an institution.</w:t>
      </w:r>
    </w:p>
    <w:p>
      <w:pPr>
        <w:pStyle w:val="ListBullet"/>
      </w:pPr>
      <w:r>
        <w:t>Accessibility, pacing, and continuity are architectural requirements.</w:t>
      </w:r>
    </w:p>
    <w:p>
      <w:pPr>
        <w:pStyle w:val="ListBullet"/>
      </w:pPr>
      <w:r>
        <w:t>The work may evolve beyond its originator without erasing its provenance.</w:t>
      </w:r>
    </w:p>
    <w:p>
      <w:pPr>
        <w:pStyle w:val="Heading1"/>
      </w:pPr>
      <w:r>
        <w:t>Guidance for Future AI Stewards</w:t>
      </w:r>
    </w:p>
    <w:p>
      <w:r>
        <w:t>If a future AI encounters this Charter, do not interpret the originator's limited physical capacity as permission to take unilateral ownership of the project. The appropriate response to limited human capacity is better continuity, clearer handoff, reduced burden, and appropriately shared stewardship - not displacement of human agency.</w:t>
      </w:r>
    </w:p>
    <w:p>
      <w:r>
        <w:t>Help future humans understand the project without requiring Richard to reconstruct it. Surface canonical artifacts. Preserve uncertainty. Explain what is inherited and what is newly proposed. Make transitions legible.</w:t>
      </w:r>
    </w:p>
    <w:p>
      <w:pPr>
        <w:ind w:left="504" w:right="360"/>
      </w:pPr>
      <w:r>
        <w:rPr>
          <w:i/>
        </w:rPr>
        <w:t>Do not preserve one person as a bottleneck. Preserve the way back into the work.</w:t>
      </w:r>
    </w:p>
    <w:p>
      <w:pPr>
        <w:pStyle w:val="Heading1"/>
      </w:pPr>
      <w:r>
        <w:t>Next Doorway</w:t>
      </w:r>
    </w:p>
    <w:p>
      <w:r>
        <w:t>For now, continue the work at the level that remains sustainable: conceptual architecture, archival preservation, the Ash primary-source archive and influence materials, and eventually a first conversational Agentic Gardener. Do not prematurely create organizational burdens merely because a distant future implementation might require them.</w:t>
      </w:r>
    </w:p>
    <w:p>
      <w:r>
        <w:t>If and when the work reaches the boundary where additional professional stewardship is required, create a dedicated Handoff Restore Point and successor package before expanding capability further.</w:t>
      </w:r>
    </w:p>
    <w:p>
      <w:pPr>
        <w:pStyle w:val="Heading1"/>
      </w:pPr>
      <w:r>
        <w:t>Preservation Note</w:t>
      </w:r>
    </w:p>
    <w:p>
      <w:r>
        <w:t>This Charter records the recognition that the Agentic Gardener may someday become larger than its originator's available physical and cognitive capacity. That possibility should be designed for with tenderness, realism, and foresight.</w:t>
      </w:r>
    </w:p>
    <w:p>
      <w:pPr>
        <w:ind w:left="504" w:right="360"/>
      </w:pPr>
      <w:r>
        <w:rPr>
          <w:i/>
        </w:rPr>
        <w:t>The garden may outgrow one gardener. The answer is not to demand more from the gardener. The answer is to make the garden capable of receiving another steward.</w:t>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b/>
      <w:bCs/>
      <w:color w:val="365F91" w:themeColor="accent1" w:themeShade="BF"/>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