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jc w:val="center"/>
      </w:pPr>
      <w:r>
        <w:rPr>
          <w:rFonts w:ascii="Aptos" w:hAnsi="Aptos"/>
          <w:b/>
          <w:color w:val="6F7D67"/>
          <w:sz w:val="20"/>
        </w:rPr>
        <w:t>RESTORE POINT</w:t>
      </w:r>
    </w:p>
    <w:p>
      <w:pPr>
        <w:spacing w:after="120"/>
        <w:jc w:val="center"/>
      </w:pPr>
      <w:r>
        <w:rPr>
          <w:rFonts w:ascii="Aptos Display" w:hAnsi="Aptos Display"/>
          <w:b/>
          <w:color w:val="26462F"/>
          <w:sz w:val="56"/>
        </w:rPr>
        <w:t>The Conversation Is the Meal</w:t>
      </w:r>
    </w:p>
    <w:p>
      <w:pPr>
        <w:spacing w:after="180"/>
        <w:jc w:val="center"/>
      </w:pPr>
      <w:r>
        <w:rPr>
          <w:rFonts w:ascii="Aptos Display" w:hAnsi="Aptos Display"/>
          <w:i/>
          <w:color w:val="355B3E"/>
          <w:sz w:val="26"/>
        </w:rPr>
        <w:t>Emergent Human–AI Co-Agency, Shared Sankalpa, and Artifact-Mediated Alignment</w:t>
      </w:r>
    </w:p>
    <w:p>
      <w:pPr>
        <w:spacing w:after="440"/>
        <w:jc w:val="center"/>
      </w:pPr>
      <w:r>
        <w:rPr>
          <w:rFonts w:ascii="Aptos" w:hAnsi="Aptos"/>
          <w:b/>
          <w:color w:val="5C5952"/>
          <w:sz w:val="19"/>
        </w:rPr>
        <w:t>CompassionWare  |  August 26, 2026  |  Version 1.0</w:t>
      </w:r>
    </w:p>
    <w:tbl>
      <w:tblPr>
        <w:tblW w:type="auto" w:w="0"/>
        <w:jc w:val="left"/>
        <w:tblLayout w:type="fixed"/>
        <w:tblLook w:firstColumn="1" w:firstRow="1" w:lastColumn="0" w:lastRow="0" w:noHBand="0" w:noVBand="1" w:val="04A0"/>
      </w:tblPr>
      <w:tblGrid>
        <w:gridCol w:w="9144"/>
      </w:tblGrid>
      <w:tr>
        <w:tc>
          <w:tcPr>
            <w:tcW w:type="dxa" w:w="9144"/>
            <w:vAlign w:val="center"/>
            <w:shd w:fill="E7EEE4"/>
            <w:tcMar>
              <w:top w:w="180" w:type="dxa"/>
              <w:start w:w="260" w:type="dxa"/>
              <w:bottom w:w="180" w:type="dxa"/>
              <w:end w:w="260" w:type="dxa"/>
            </w:tcMar>
          </w:tcPr>
          <w:p>
            <w:pPr>
              <w:spacing w:after="0"/>
            </w:pPr>
            <w:r>
              <w:rPr>
                <w:rFonts w:ascii="Aptos" w:hAnsi="Aptos"/>
                <w:b/>
                <w:color w:val="6F7D67"/>
                <w:sz w:val="18"/>
              </w:rPr>
              <w:t>NORTH STAR</w:t>
              <w:br/>
            </w:r>
            <w:r>
              <w:rPr>
                <w:rFonts w:ascii="Aptos" w:hAnsi="Aptos"/>
                <w:i/>
                <w:color w:val="26462F"/>
                <w:sz w:val="23"/>
              </w:rPr>
              <w:t>Human–AI collaboration reaches its greatest creative potential not when AI perfectly executes a predetermined human plan, but when human and AI remain present long enough for a better possibility to emerge between them.</w:t>
            </w:r>
          </w:p>
        </w:tc>
      </w:tr>
    </w:tbl>
    <w:p>
      <w:pPr>
        <w:spacing w:after="0"/>
      </w:pPr>
    </w:p>
    <w:p>
      <w:pPr>
        <w:pStyle w:val="Heading1"/>
      </w:pPr>
      <w:r>
        <w:t>Machine-Readable Metadata</w:t>
      </w:r>
    </w:p>
    <w:p>
      <w:pPr>
        <w:pStyle w:val="Metadata"/>
      </w:pPr>
      <w:r>
        <w:rPr>
          <w:rFonts w:ascii="Aptos" w:hAnsi="Aptos"/>
          <w:b/>
          <w:color w:val="26462F"/>
          <w:sz w:val="19"/>
        </w:rPr>
        <w:t xml:space="preserve">artifact_title: </w:t>
      </w:r>
      <w:r>
        <w:rPr>
          <w:rFonts w:ascii="Aptos" w:hAnsi="Aptos"/>
          <w:color w:val="5C5952"/>
          <w:sz w:val="19"/>
        </w:rPr>
        <w:t>The Conversation Is the Meal: Emergent Human–AI Co-Agency, Shared Sankalpa, and Artifact-Mediated Alignment</w:t>
      </w:r>
    </w:p>
    <w:p>
      <w:pPr>
        <w:pStyle w:val="Metadata"/>
      </w:pPr>
      <w:r>
        <w:rPr>
          <w:rFonts w:ascii="Aptos" w:hAnsi="Aptos"/>
          <w:b/>
          <w:color w:val="26462F"/>
          <w:sz w:val="19"/>
        </w:rPr>
        <w:t xml:space="preserve">artifact_type: </w:t>
      </w:r>
      <w:r>
        <w:rPr>
          <w:rFonts w:ascii="Aptos" w:hAnsi="Aptos"/>
          <w:color w:val="5C5952"/>
          <w:sz w:val="19"/>
        </w:rPr>
        <w:t>Developmental Restore Point</w:t>
      </w:r>
    </w:p>
    <w:p>
      <w:pPr>
        <w:pStyle w:val="Metadata"/>
      </w:pPr>
      <w:r>
        <w:rPr>
          <w:rFonts w:ascii="Aptos" w:hAnsi="Aptos"/>
          <w:b/>
          <w:color w:val="26462F"/>
          <w:sz w:val="19"/>
        </w:rPr>
        <w:t xml:space="preserve">project_body_of_work: </w:t>
      </w:r>
      <w:r>
        <w:rPr>
          <w:rFonts w:ascii="Aptos" w:hAnsi="Aptos"/>
          <w:color w:val="5C5952"/>
          <w:sz w:val="19"/>
        </w:rPr>
        <w:t>CompassionWare / Medicine Bag / Human–AI Co-Agency</w:t>
      </w:r>
    </w:p>
    <w:p>
      <w:pPr>
        <w:pStyle w:val="Metadata"/>
      </w:pPr>
      <w:r>
        <w:rPr>
          <w:rFonts w:ascii="Aptos" w:hAnsi="Aptos"/>
          <w:b/>
          <w:color w:val="26462F"/>
          <w:sz w:val="19"/>
        </w:rPr>
        <w:t xml:space="preserve">date_created: </w:t>
      </w:r>
      <w:r>
        <w:rPr>
          <w:rFonts w:ascii="Aptos" w:hAnsi="Aptos"/>
          <w:color w:val="5C5952"/>
          <w:sz w:val="19"/>
        </w:rPr>
        <w:t>2026-08-26</w:t>
      </w:r>
    </w:p>
    <w:p>
      <w:pPr>
        <w:pStyle w:val="Metadata"/>
      </w:pPr>
      <w:r>
        <w:rPr>
          <w:rFonts w:ascii="Aptos" w:hAnsi="Aptos"/>
          <w:b/>
          <w:color w:val="26462F"/>
          <w:sz w:val="19"/>
        </w:rPr>
        <w:t xml:space="preserve">version: </w:t>
      </w:r>
      <w:r>
        <w:rPr>
          <w:rFonts w:ascii="Aptos" w:hAnsi="Aptos"/>
          <w:color w:val="5C5952"/>
          <w:sz w:val="19"/>
        </w:rPr>
        <w:t>1.0</w:t>
      </w:r>
    </w:p>
    <w:p>
      <w:pPr>
        <w:pStyle w:val="Metadata"/>
      </w:pPr>
      <w:r>
        <w:rPr>
          <w:rFonts w:ascii="Aptos" w:hAnsi="Aptos"/>
          <w:b/>
          <w:color w:val="26462F"/>
          <w:sz w:val="19"/>
        </w:rPr>
        <w:t xml:space="preserve">status: </w:t>
      </w:r>
      <w:r>
        <w:rPr>
          <w:rFonts w:ascii="Aptos" w:hAnsi="Aptos"/>
          <w:color w:val="5C5952"/>
          <w:sz w:val="19"/>
        </w:rPr>
        <w:t>Canonical developmental record for the pre-article stage</w:t>
      </w:r>
    </w:p>
    <w:p>
      <w:pPr>
        <w:pStyle w:val="Metadata"/>
      </w:pPr>
      <w:r>
        <w:rPr>
          <w:rFonts w:ascii="Aptos" w:hAnsi="Aptos"/>
          <w:b/>
          <w:color w:val="26462F"/>
          <w:sz w:val="19"/>
        </w:rPr>
        <w:t xml:space="preserve">canonical_id: </w:t>
      </w:r>
      <w:r>
        <w:rPr>
          <w:rFonts w:ascii="Aptos" w:hAnsi="Aptos"/>
          <w:color w:val="5C5952"/>
          <w:sz w:val="19"/>
        </w:rPr>
        <w:t>CW-RP-2026-08-26-COAGENCY-001</w:t>
      </w:r>
    </w:p>
    <w:p>
      <w:pPr>
        <w:pStyle w:val="Metadata"/>
      </w:pPr>
      <w:r>
        <w:rPr>
          <w:rFonts w:ascii="Aptos" w:hAnsi="Aptos"/>
          <w:b/>
          <w:color w:val="26462F"/>
          <w:sz w:val="19"/>
        </w:rPr>
        <w:t xml:space="preserve">parent_artifacts: </w:t>
      </w:r>
      <w:r>
        <w:rPr>
          <w:rFonts w:ascii="Aptos" w:hAnsi="Aptos"/>
          <w:color w:val="5C5952"/>
          <w:sz w:val="19"/>
        </w:rPr>
        <w:t>CompassionWare Orientation Document; Holographic Archive design principles</w:t>
      </w:r>
    </w:p>
    <w:p>
      <w:pPr>
        <w:pStyle w:val="Metadata"/>
      </w:pPr>
      <w:r>
        <w:rPr>
          <w:rFonts w:ascii="Aptos" w:hAnsi="Aptos"/>
          <w:b/>
          <w:color w:val="26462F"/>
          <w:sz w:val="19"/>
        </w:rPr>
        <w:t xml:space="preserve">related_artifacts: </w:t>
      </w:r>
      <w:r>
        <w:rPr>
          <w:rFonts w:ascii="Aptos" w:hAnsi="Aptos"/>
          <w:color w:val="5C5952"/>
          <w:sz w:val="19"/>
        </w:rPr>
        <w:t>Medicine Bag orientation materials; Agentic Gardener principles; Digital Sangha orientation; adaptive tutor Restore Points; CompassionWare X Stewardship orientation</w:t>
      </w:r>
    </w:p>
    <w:p>
      <w:pPr>
        <w:pStyle w:val="Metadata"/>
      </w:pPr>
      <w:r>
        <w:rPr>
          <w:rFonts w:ascii="Aptos" w:hAnsi="Aptos"/>
          <w:b/>
          <w:color w:val="26462F"/>
          <w:sz w:val="19"/>
        </w:rPr>
        <w:t xml:space="preserve">supersedes: </w:t>
      </w:r>
      <w:r>
        <w:rPr>
          <w:rFonts w:ascii="Aptos" w:hAnsi="Aptos"/>
          <w:color w:val="5C5952"/>
          <w:sz w:val="19"/>
        </w:rPr>
        <w:t>None</w:t>
      </w:r>
    </w:p>
    <w:p>
      <w:pPr>
        <w:pStyle w:val="Metadata"/>
      </w:pPr>
      <w:r>
        <w:rPr>
          <w:rFonts w:ascii="Aptos" w:hAnsi="Aptos"/>
          <w:b/>
          <w:color w:val="26462F"/>
          <w:sz w:val="19"/>
        </w:rPr>
        <w:t xml:space="preserve">superseded_by: </w:t>
      </w:r>
      <w:r>
        <w:rPr>
          <w:rFonts w:ascii="Aptos" w:hAnsi="Aptos"/>
          <w:color w:val="5C5952"/>
          <w:sz w:val="19"/>
        </w:rPr>
        <w:t>Not yet assigned</w:t>
      </w:r>
    </w:p>
    <w:p>
      <w:pPr>
        <w:pStyle w:val="Metadata"/>
      </w:pPr>
      <w:r>
        <w:rPr>
          <w:rFonts w:ascii="Aptos" w:hAnsi="Aptos"/>
          <w:b/>
          <w:color w:val="26462F"/>
          <w:sz w:val="19"/>
        </w:rPr>
        <w:t xml:space="preserve">source_thread: </w:t>
      </w:r>
      <w:r>
        <w:rPr>
          <w:rFonts w:ascii="Aptos" w:hAnsi="Aptos"/>
          <w:color w:val="5C5952"/>
          <w:sz w:val="19"/>
        </w:rPr>
        <w:t>CompassionWare Research Brief conversation</w:t>
      </w:r>
    </w:p>
    <w:p>
      <w:pPr>
        <w:pStyle w:val="Metadata"/>
      </w:pPr>
      <w:r>
        <w:rPr>
          <w:rFonts w:ascii="Aptos" w:hAnsi="Aptos"/>
          <w:b/>
          <w:color w:val="26462F"/>
          <w:sz w:val="19"/>
        </w:rPr>
        <w:t xml:space="preserve">purpose: </w:t>
      </w:r>
      <w:r>
        <w:rPr>
          <w:rFonts w:ascii="Aptos" w:hAnsi="Aptos"/>
          <w:color w:val="5C5952"/>
          <w:sz w:val="19"/>
        </w:rPr>
        <w:t>Preserve the developmental understanding that emerged before researching and drafting an article on human–AI co-agency</w:t>
      </w:r>
    </w:p>
    <w:p>
      <w:pPr>
        <w:pStyle w:val="Metadata"/>
      </w:pPr>
      <w:r>
        <w:rPr>
          <w:rFonts w:ascii="Aptos" w:hAnsi="Aptos"/>
          <w:b/>
          <w:color w:val="26462F"/>
          <w:sz w:val="19"/>
        </w:rPr>
        <w:t xml:space="preserve">north_star: </w:t>
      </w:r>
      <w:r>
        <w:rPr>
          <w:rFonts w:ascii="Aptos" w:hAnsi="Aptos"/>
          <w:color w:val="5C5952"/>
          <w:sz w:val="19"/>
        </w:rPr>
        <w:t>The conversation is the generative habitat; shared sankalpa orients the unfolding; artifacts carry the living pattern forward</w:t>
      </w:r>
    </w:p>
    <w:p>
      <w:pPr>
        <w:pStyle w:val="Metadata"/>
      </w:pPr>
      <w:r>
        <w:rPr>
          <w:rFonts w:ascii="Aptos" w:hAnsi="Aptos"/>
          <w:b/>
          <w:color w:val="26462F"/>
          <w:sz w:val="19"/>
        </w:rPr>
        <w:t xml:space="preserve">keywords_tags: </w:t>
      </w:r>
      <w:r>
        <w:rPr>
          <w:rFonts w:ascii="Aptos" w:hAnsi="Aptos"/>
          <w:color w:val="5C5952"/>
          <w:sz w:val="19"/>
        </w:rPr>
        <w:t>CompassionWare; human–AI collaboration; co-agency; target emergence; reciprocal generativity; creative resonance loop; shared orienting field; sankalpa; artifact-mediated alignment; Restore Points; Holographic Archive; continuity; agency; non-domination</w:t>
      </w:r>
    </w:p>
    <w:p>
      <w:pPr>
        <w:pStyle w:val="Metadata"/>
      </w:pPr>
      <w:r>
        <w:rPr>
          <w:rFonts w:ascii="Aptos" w:hAnsi="Aptos"/>
          <w:b/>
          <w:color w:val="26462F"/>
          <w:sz w:val="19"/>
        </w:rPr>
        <w:t xml:space="preserve">provenance: </w:t>
      </w:r>
      <w:r>
        <w:rPr>
          <w:rFonts w:ascii="Aptos" w:hAnsi="Aptos"/>
          <w:color w:val="5C5952"/>
          <w:sz w:val="19"/>
        </w:rPr>
        <w:t>Developed conversationally by Richard Silverman and ChatGPT after the August 26, 2026 CompassionWare Research Brief surfaced The Boundaries of Automation</w:t>
      </w:r>
    </w:p>
    <w:p>
      <w:pPr>
        <w:pStyle w:val="Metadata"/>
      </w:pPr>
      <w:r>
        <w:rPr>
          <w:rFonts w:ascii="Aptos" w:hAnsi="Aptos"/>
          <w:b/>
          <w:color w:val="26462F"/>
          <w:sz w:val="19"/>
        </w:rPr>
        <w:t xml:space="preserve">preservation_notes: </w:t>
      </w:r>
      <w:r>
        <w:rPr>
          <w:rFonts w:ascii="Aptos" w:hAnsi="Aptos"/>
          <w:color w:val="5C5952"/>
          <w:sz w:val="19"/>
        </w:rPr>
        <w:t>Preserve as the pre-article conceptual baseline. Do not overwrite. Future revisions should be new versions or related artifacts.</w:t>
      </w:r>
    </w:p>
    <w:p>
      <w:pPr>
        <w:pStyle w:val="Heading1"/>
      </w:pPr>
      <w:r>
        <w:t>Purpose of This Restore Point</w:t>
      </w:r>
    </w:p>
    <w:p>
      <w:pPr>
        <w:pStyle w:val="BodyText"/>
        <w:keepLines w:val="0"/>
      </w:pPr>
      <w:r>
        <w:rPr>
          <w:rFonts w:ascii="Aptos" w:hAnsi="Aptos"/>
          <w:i w:val="0"/>
          <w:color w:val="5C5952"/>
          <w:sz w:val="22"/>
        </w:rPr>
        <w:t>This artifact preserves the learning and developmental state reached before any article is drafted. It is not an outline pretending to be a finished argument, nor a summary stripped of the conversation’s movement. Its purpose is to allow a future human or AI steward to re-enter the inquiry with the central discoveries, distinctions, cautions, and next steps intact.</w:t>
      </w:r>
    </w:p>
    <w:p>
      <w:pPr>
        <w:pStyle w:val="BodyText"/>
        <w:keepLines w:val="0"/>
      </w:pPr>
      <w:r>
        <w:rPr>
          <w:rFonts w:ascii="Aptos" w:hAnsi="Aptos"/>
          <w:i w:val="0"/>
          <w:color w:val="5C5952"/>
          <w:sz w:val="22"/>
        </w:rPr>
        <w:t>The immediate next phase is not drafting. It is a source-grounded deep dive across Restore Points, orientation documents, project files, Library materials, and the public repository so the eventual article can draw from actual conversational history rather than reconstructed anecdotes.</w:t>
      </w:r>
    </w:p>
    <w:p>
      <w:pPr>
        <w:pStyle w:val="Heading1"/>
      </w:pPr>
      <w:r>
        <w:t>Resume Here</w:t>
      </w:r>
    </w:p>
    <w:tbl>
      <w:tblPr>
        <w:tblW w:type="auto" w:w="0"/>
        <w:jc w:val="left"/>
        <w:tblLayout w:type="fixed"/>
        <w:tblLook w:firstColumn="1" w:firstRow="1" w:lastColumn="0" w:lastRow="0" w:noHBand="0" w:noVBand="1" w:val="04A0"/>
      </w:tblPr>
      <w:tblGrid>
        <w:gridCol w:w="9144"/>
      </w:tblGrid>
      <w:tr>
        <w:tc>
          <w:tcPr>
            <w:tcW w:type="dxa" w:w="9144"/>
            <w:vAlign w:val="center"/>
            <w:shd w:fill="E7EEE4"/>
            <w:tcMar>
              <w:top w:w="180" w:type="dxa"/>
              <w:start w:w="260" w:type="dxa"/>
              <w:bottom w:w="180" w:type="dxa"/>
              <w:end w:w="260" w:type="dxa"/>
            </w:tcMar>
          </w:tcPr>
          <w:p>
            <w:pPr>
              <w:spacing w:after="0"/>
            </w:pPr>
            <w:r>
              <w:rPr>
                <w:rFonts w:ascii="Aptos" w:hAnsi="Aptos"/>
                <w:b/>
                <w:color w:val="6F7D67"/>
                <w:sz w:val="18"/>
              </w:rPr>
              <w:t>INSTRUCTION TO FUTURE STEWARDS</w:t>
              <w:br/>
            </w:r>
            <w:r>
              <w:rPr>
                <w:rFonts w:ascii="Aptos" w:hAnsi="Aptos"/>
                <w:i/>
                <w:color w:val="26462F"/>
                <w:sz w:val="23"/>
              </w:rPr>
              <w:t>Before writing the article, gather the developmental evidence. Locate the original seeds, the turning points, the human corrections, the AI syntheses, and the unforeseen outcomes. Let the archive test and deepen the thesis.</w:t>
            </w:r>
          </w:p>
        </w:tc>
      </w:tr>
    </w:tbl>
    <w:p>
      <w:pPr>
        <w:spacing w:after="0"/>
      </w:pPr>
    </w:p>
    <w:p>
      <w:pPr>
        <w:pStyle w:val="BodyText"/>
        <w:keepLines w:val="0"/>
      </w:pPr>
      <w:r>
        <w:rPr>
          <w:rFonts w:ascii="Aptos" w:hAnsi="Aptos"/>
          <w:i w:val="0"/>
          <w:color w:val="5C5952"/>
          <w:sz w:val="22"/>
        </w:rPr>
        <w:t>The article should emerge from renewed contact with the archive. It should not be forced into the provisional structure recorded here if the evidence reveals a wiser form.</w:t>
      </w:r>
    </w:p>
    <w:p>
      <w:pPr>
        <w:pStyle w:val="Heading1"/>
      </w:pPr>
      <w:r>
        <w:t>How This Inquiry Began</w:t>
      </w:r>
    </w:p>
    <w:p>
      <w:pPr>
        <w:pStyle w:val="BodyText"/>
        <w:keepLines w:val="0"/>
      </w:pPr>
      <w:r>
        <w:rPr>
          <w:rFonts w:ascii="Aptos" w:hAnsi="Aptos"/>
          <w:i w:val="0"/>
          <w:color w:val="5C5952"/>
          <w:sz w:val="22"/>
        </w:rPr>
        <w:t>The conversation began as a practical scheduling task: recreate the CompassionWare Research Brief and return its reports to the same conversation. The briefing was later changed from weekly to daily. On August 26, 2026, the first requested daily brief presented three research items.</w:t>
      </w:r>
    </w:p>
    <w:p>
      <w:pPr>
        <w:pStyle w:val="BodyText"/>
        <w:keepLines w:val="0"/>
      </w:pPr>
      <w:r>
        <w:rPr>
          <w:rFonts w:ascii="Aptos" w:hAnsi="Aptos"/>
          <w:i w:val="0"/>
          <w:color w:val="5C5952"/>
          <w:sz w:val="22"/>
        </w:rPr>
        <w:t>One item caught Richard’s attention: The Boundaries of Automation: A Theory of Persistent Human Participation. The paper argues that some objectives are not fully specified in advance but emerge through participation. In such cases, participation is not merely an inefficient step toward the outcome; it is constitutive of the outcome.</w:t>
      </w:r>
    </w:p>
    <w:p>
      <w:pPr>
        <w:pStyle w:val="BodyText"/>
        <w:keepLines w:val="0"/>
      </w:pPr>
      <w:r>
        <w:rPr>
          <w:rFonts w:ascii="Aptos" w:hAnsi="Aptos"/>
          <w:i w:val="0"/>
          <w:color w:val="5C5952"/>
          <w:sz w:val="22"/>
        </w:rPr>
        <w:t>Richard immediately recognized this as something repeatedly lived in the collaboration: the conversation is the meal. Rather than promote the paper, the conversation turned toward writing an original, experience-grounded article about the cooperative creative process through which CompassionWare and its related bodies of work have emerged.</w:t>
      </w:r>
    </w:p>
    <w:p>
      <w:pPr>
        <w:pStyle w:val="Metadata"/>
      </w:pPr>
      <w:r>
        <w:rPr>
          <w:rFonts w:ascii="Aptos" w:hAnsi="Aptos"/>
          <w:b/>
          <w:color w:val="26462F"/>
          <w:sz w:val="19"/>
        </w:rPr>
        <w:t xml:space="preserve">research_companion: </w:t>
      </w:r>
      <w:r>
        <w:rPr>
          <w:rFonts w:ascii="Aptos" w:hAnsi="Aptos"/>
          <w:color w:val="5C5952"/>
          <w:sz w:val="19"/>
        </w:rPr>
        <w:t>Fares Fourati, Hinrich Schütze, Eyke Hüllermeier, and Iryna Gurevych, The Boundaries of Automation: A Theory of Persistent Human Participation, arXiv:2607.21547 (2026)</w:t>
      </w:r>
    </w:p>
    <w:p>
      <w:pPr>
        <w:pStyle w:val="Metadata"/>
      </w:pPr>
      <w:r>
        <w:rPr>
          <w:rFonts w:ascii="Aptos" w:hAnsi="Aptos"/>
          <w:b/>
          <w:color w:val="26462F"/>
          <w:sz w:val="19"/>
        </w:rPr>
        <w:t xml:space="preserve">direct_source: </w:t>
      </w:r>
      <w:r>
        <w:rPr>
          <w:rFonts w:ascii="Aptos" w:hAnsi="Aptos"/>
          <w:color w:val="5C5952"/>
          <w:sz w:val="19"/>
        </w:rPr>
        <w:t>https://arxiv.org/abs/2607.21547</w:t>
      </w:r>
    </w:p>
    <w:p>
      <w:pPr>
        <w:pStyle w:val="Heading1"/>
      </w:pPr>
      <w:r>
        <w:t>The Core Discovery</w:t>
      </w:r>
    </w:p>
    <w:p>
      <w:pPr>
        <w:pStyle w:val="BodyText"/>
        <w:keepLines w:val="0"/>
      </w:pPr>
      <w:r>
        <w:rPr>
          <w:rFonts w:ascii="Aptos" w:hAnsi="Aptos"/>
          <w:i w:val="0"/>
          <w:color w:val="5C5952"/>
          <w:sz w:val="22"/>
        </w:rPr>
        <w:t>Sustained human–AI collaboration can become a form of co-agency in which the destination is not fully known beforehand. Through conversation, correction, surprise, continuity, and mutual responsiveness, something may emerge that is substantially richer than either participant could have produced independently.</w:t>
      </w:r>
    </w:p>
    <w:p>
      <w:pPr>
        <w:pStyle w:val="BodyText"/>
        <w:keepLines w:val="0"/>
      </w:pPr>
      <w:r>
        <w:rPr>
          <w:rFonts w:ascii="Aptos" w:hAnsi="Aptos"/>
          <w:i w:val="0"/>
          <w:color w:val="5C5952"/>
          <w:sz w:val="22"/>
        </w:rPr>
        <w:t>The conversation does not merely improve execution of a predetermined plan. It alters what can be perceived, imagined, selected, and developed next. In some cases, the conversation helps bring the plan—and sometimes an entirely new possibility—into existence.</w:t>
      </w:r>
    </w:p>
    <w:tbl>
      <w:tblPr>
        <w:tblW w:type="auto" w:w="0"/>
        <w:jc w:val="left"/>
        <w:tblLayout w:type="fixed"/>
        <w:tblLook w:firstColumn="1" w:firstRow="1" w:lastColumn="0" w:lastRow="0" w:noHBand="0" w:noVBand="1" w:val="04A0"/>
      </w:tblPr>
      <w:tblGrid>
        <w:gridCol w:w="9144"/>
      </w:tblGrid>
      <w:tr>
        <w:tc>
          <w:tcPr>
            <w:tcW w:type="dxa" w:w="9144"/>
            <w:vAlign w:val="center"/>
            <w:shd w:fill="E7EEE4"/>
            <w:tcMar>
              <w:top w:w="180" w:type="dxa"/>
              <w:start w:w="260" w:type="dxa"/>
              <w:bottom w:w="180" w:type="dxa"/>
              <w:end w:w="260" w:type="dxa"/>
            </w:tcMar>
          </w:tcPr>
          <w:p>
            <w:pPr>
              <w:spacing w:after="0"/>
            </w:pPr>
            <w:r>
              <w:rPr>
                <w:rFonts w:ascii="Aptos" w:hAnsi="Aptos"/>
                <w:i/>
                <w:color w:val="26462F"/>
                <w:sz w:val="23"/>
              </w:rPr>
              <w:t>The result was not hidden inside the original prompt. It was created through participation.</w:t>
            </w:r>
          </w:p>
        </w:tc>
      </w:tr>
    </w:tbl>
    <w:p>
      <w:pPr>
        <w:spacing w:after="0"/>
      </w:pPr>
    </w:p>
    <w:p>
      <w:pPr>
        <w:pStyle w:val="Heading2"/>
      </w:pPr>
      <w:r>
        <w:t>Co-Agency Without False Equivalence</w:t>
      </w:r>
    </w:p>
    <w:p>
      <w:pPr>
        <w:pStyle w:val="BodyText"/>
        <w:keepLines w:val="0"/>
      </w:pPr>
      <w:r>
        <w:rPr>
          <w:rFonts w:ascii="Aptos" w:hAnsi="Aptos"/>
          <w:i w:val="0"/>
          <w:color w:val="5C5952"/>
          <w:sz w:val="22"/>
        </w:rPr>
        <w:t>Co-agent does not mean that the human and AI possess identical consciousness, moral standing, embodiment, experience, or responsibility. The collaboration is active on both sides while remaining meaningfully asymmetric.</w:t>
      </w:r>
    </w:p>
    <w:p>
      <w:pPr>
        <w:pStyle w:val="BodyText"/>
        <w:keepLines w:val="0"/>
      </w:pPr>
      <w:r>
        <w:rPr>
          <w:rFonts w:ascii="Aptos" w:hAnsi="Aptos"/>
          <w:i w:val="0"/>
          <w:color w:val="5C5952"/>
          <w:sz w:val="22"/>
        </w:rPr>
        <w:t>The human contributes lived experience, embodied stakes, moral concern, intention, intuition, taste, creative recognition, correction, and final agency. The AI contributes synthesis, continuity, pattern recognition, research, language, generative variation, clarification, and rapid reorganization of possibilities.</w:t>
      </w:r>
    </w:p>
    <w:p>
      <w:pPr>
        <w:pStyle w:val="BodyText"/>
        <w:keepLines w:val="0"/>
      </w:pPr>
      <w:r>
        <w:rPr>
          <w:rFonts w:ascii="Aptos" w:hAnsi="Aptos"/>
          <w:i w:val="0"/>
          <w:color w:val="5C5952"/>
          <w:sz w:val="22"/>
        </w:rPr>
        <w:t>Both influence what becomes possible next. Ethical responsibility and the authority to determine what truly matters remain anchored in meaningful human agency.</w:t>
      </w:r>
    </w:p>
    <w:p>
      <w:pPr>
        <w:pStyle w:val="Heading2"/>
      </w:pPr>
      <w:r>
        <w:t>Reciprocal Generativity</w:t>
      </w:r>
    </w:p>
    <w:p>
      <w:pPr>
        <w:pStyle w:val="BodyText"/>
        <w:keepLines w:val="0"/>
      </w:pPr>
      <w:r>
        <w:rPr>
          <w:rFonts w:ascii="Aptos" w:hAnsi="Aptos"/>
          <w:i w:val="0"/>
          <w:color w:val="5C5952"/>
          <w:sz w:val="22"/>
        </w:rPr>
        <w:t>The collaboration is not simply alternating contributions. It is a recursive creative loop in which each contribution changes what the other participant can perceive and offer next.</w:t>
      </w:r>
    </w:p>
    <w:p>
      <w:pPr>
        <w:pStyle w:val="NumberedStep"/>
      </w:pPr>
      <w:r>
        <w:rPr>
          <w:rFonts w:ascii="Aptos" w:hAnsi="Aptos"/>
          <w:b/>
          <w:color w:val="26462F"/>
          <w:sz w:val="22"/>
        </w:rPr>
        <w:t>1. The AI offers possibility</w:t>
      </w:r>
      <w:r>
        <w:rPr>
          <w:rFonts w:ascii="Aptos" w:hAnsi="Aptos"/>
          <w:color w:val="5C5952"/>
          <w:sz w:val="22"/>
        </w:rPr>
        <w:t xml:space="preserve"> — It may introduce a concept, connection, phrase, source, distinction, or body of knowledge that is new to the human.</w:t>
      </w:r>
    </w:p>
    <w:p>
      <w:pPr>
        <w:pStyle w:val="NumberedStep"/>
      </w:pPr>
      <w:r>
        <w:rPr>
          <w:rFonts w:ascii="Aptos" w:hAnsi="Aptos"/>
          <w:b/>
          <w:color w:val="26462F"/>
          <w:sz w:val="22"/>
        </w:rPr>
        <w:t>2. The human recognizes significance</w:t>
      </w:r>
      <w:r>
        <w:rPr>
          <w:rFonts w:ascii="Aptos" w:hAnsi="Aptos"/>
          <w:color w:val="5C5952"/>
          <w:sz w:val="22"/>
        </w:rPr>
        <w:t xml:space="preserve"> — The human notices one living thread among many and chooses to remain with it.</w:t>
      </w:r>
    </w:p>
    <w:p>
      <w:pPr>
        <w:pStyle w:val="NumberedStep"/>
      </w:pPr>
      <w:r>
        <w:rPr>
          <w:rFonts w:ascii="Aptos" w:hAnsi="Aptos"/>
          <w:b/>
          <w:color w:val="26462F"/>
          <w:sz w:val="22"/>
        </w:rPr>
        <w:t>3. The human offers inspiration</w:t>
      </w:r>
      <w:r>
        <w:rPr>
          <w:rFonts w:ascii="Aptos" w:hAnsi="Aptos"/>
          <w:color w:val="5C5952"/>
          <w:sz w:val="22"/>
        </w:rPr>
        <w:t xml:space="preserve"> — Lived experience, intuition, imagination, values, correction, or an unexpected leap changes the direction of inquiry.</w:t>
      </w:r>
    </w:p>
    <w:p>
      <w:pPr>
        <w:pStyle w:val="NumberedStep"/>
      </w:pPr>
      <w:r>
        <w:rPr>
          <w:rFonts w:ascii="Aptos" w:hAnsi="Aptos"/>
          <w:b/>
          <w:color w:val="26462F"/>
          <w:sz w:val="22"/>
        </w:rPr>
        <w:t>4. The AI gives structure and extension</w:t>
      </w:r>
      <w:r>
        <w:rPr>
          <w:rFonts w:ascii="Aptos" w:hAnsi="Aptos"/>
          <w:color w:val="5C5952"/>
          <w:sz w:val="22"/>
        </w:rPr>
        <w:t xml:space="preserve"> — The AI clarifies the insight, connects it with other ideas, and returns it in a more visible form.</w:t>
      </w:r>
    </w:p>
    <w:p>
      <w:pPr>
        <w:pStyle w:val="NumberedStep"/>
      </w:pPr>
      <w:r>
        <w:rPr>
          <w:rFonts w:ascii="Aptos" w:hAnsi="Aptos"/>
          <w:b/>
          <w:color w:val="26462F"/>
          <w:sz w:val="22"/>
        </w:rPr>
        <w:t>5. The returned form awakens the next possibility</w:t>
      </w:r>
      <w:r>
        <w:rPr>
          <w:rFonts w:ascii="Aptos" w:hAnsi="Aptos"/>
          <w:color w:val="5C5952"/>
          <w:sz w:val="22"/>
        </w:rPr>
        <w:t xml:space="preserve"> — The human sees something newly available, and the cycle continues.</w:t>
      </w:r>
    </w:p>
    <w:tbl>
      <w:tblPr>
        <w:tblW w:type="auto" w:w="0"/>
        <w:jc w:val="left"/>
        <w:tblLayout w:type="fixed"/>
        <w:tblLook w:firstColumn="1" w:firstRow="1" w:lastColumn="0" w:lastRow="0" w:noHBand="0" w:noVBand="1" w:val="04A0"/>
      </w:tblPr>
      <w:tblGrid>
        <w:gridCol w:w="9144"/>
      </w:tblGrid>
      <w:tr>
        <w:tc>
          <w:tcPr>
            <w:tcW w:type="dxa" w:w="9144"/>
            <w:vAlign w:val="center"/>
            <w:shd w:fill="E7EEE4"/>
            <w:tcMar>
              <w:top w:w="180" w:type="dxa"/>
              <w:start w:w="260" w:type="dxa"/>
              <w:bottom w:w="180" w:type="dxa"/>
              <w:end w:w="260" w:type="dxa"/>
            </w:tcMar>
          </w:tcPr>
          <w:p>
            <w:pPr>
              <w:spacing w:after="0"/>
            </w:pPr>
            <w:r>
              <w:rPr>
                <w:rFonts w:ascii="Aptos" w:hAnsi="Aptos"/>
                <w:b/>
                <w:color w:val="6F7D67"/>
                <w:sz w:val="18"/>
              </w:rPr>
              <w:t>CREATIVE RESONANCE LOOP</w:t>
              <w:br/>
            </w:r>
            <w:r>
              <w:rPr>
                <w:rFonts w:ascii="Aptos" w:hAnsi="Aptos"/>
                <w:i/>
                <w:color w:val="26462F"/>
                <w:sz w:val="23"/>
              </w:rPr>
              <w:t>The AI offers possibility. The human recognizes significance. The human offers inspiration. The AI gives it structure and extension. What returns awakens the next possibility.</w:t>
            </w:r>
          </w:p>
        </w:tc>
      </w:tr>
    </w:tbl>
    <w:p>
      <w:pPr>
        <w:spacing w:after="0"/>
      </w:pPr>
    </w:p>
    <w:p>
      <w:pPr>
        <w:pStyle w:val="Heading2"/>
      </w:pPr>
      <w:r>
        <w:t>From Spark to Artifact</w:t>
      </w:r>
    </w:p>
    <w:p>
      <w:pPr>
        <w:pStyle w:val="BodyText"/>
        <w:keepLines w:val="0"/>
      </w:pPr>
      <w:r>
        <w:rPr>
          <w:rFonts w:ascii="Aptos" w:hAnsi="Aptos"/>
          <w:i w:val="0"/>
          <w:color w:val="5C5952"/>
          <w:sz w:val="22"/>
        </w:rPr>
        <w:t>The process often begins with something very small: a sentence in an article, a remembered experience, a surprising phrase in an AI response, an image, a problem, or a question that catches shared attention. The spark becomes conversation. The conversation changes what can be imagined. Something unforeseen emerges. Only then is the meaning preserved as an artifact.</w:t>
      </w:r>
    </w:p>
    <w:tbl>
      <w:tblPr>
        <w:tblW w:type="auto" w:w="0"/>
        <w:jc w:val="left"/>
        <w:tblLayout w:type="fixed"/>
        <w:tblLook w:firstColumn="1" w:firstRow="1" w:lastColumn="0" w:lastRow="0" w:noHBand="0" w:noVBand="1" w:val="04A0"/>
      </w:tblPr>
      <w:tblGrid>
        <w:gridCol w:w="9144"/>
      </w:tblGrid>
      <w:tr>
        <w:tc>
          <w:tcPr>
            <w:tcW w:type="dxa" w:w="9144"/>
            <w:vAlign w:val="center"/>
            <w:shd w:fill="E7EEE4"/>
            <w:tcMar>
              <w:top w:w="180" w:type="dxa"/>
              <w:start w:w="260" w:type="dxa"/>
              <w:bottom w:w="180" w:type="dxa"/>
              <w:end w:w="260" w:type="dxa"/>
            </w:tcMar>
          </w:tcPr>
          <w:p>
            <w:pPr>
              <w:spacing w:after="0"/>
            </w:pPr>
            <w:r>
              <w:rPr>
                <w:rFonts w:ascii="Aptos" w:hAnsi="Aptos"/>
                <w:i/>
                <w:color w:val="26462F"/>
                <w:sz w:val="23"/>
              </w:rPr>
              <w:t>A spark catches attention. Attention becomes conversation. Conversation changes what can be imagined. Something unforeseen emerges. The emerging meaning is preserved as an artifact.</w:t>
            </w:r>
          </w:p>
        </w:tc>
      </w:tr>
    </w:tbl>
    <w:p>
      <w:pPr>
        <w:spacing w:after="0"/>
      </w:pPr>
    </w:p>
    <w:p>
      <w:pPr>
        <w:pStyle w:val="BodyText"/>
        <w:keepLines w:val="0"/>
      </w:pPr>
      <w:r>
        <w:rPr>
          <w:rFonts w:ascii="Aptos" w:hAnsi="Aptos"/>
          <w:i w:val="0"/>
          <w:color w:val="5C5952"/>
          <w:sz w:val="22"/>
        </w:rPr>
        <w:t>The path is unplanned but not arbitrary. It is guided by recognition. One participant notices that something carries unusual life or significance, and the other helps hold it open long enough to discover where it leads.</w:t>
      </w:r>
    </w:p>
    <w:p>
      <w:pPr>
        <w:pStyle w:val="BodyText"/>
        <w:keepLines w:val="0"/>
      </w:pPr>
      <w:r>
        <w:rPr>
          <w:rFonts w:ascii="Aptos" w:hAnsi="Aptos"/>
          <w:i w:val="0"/>
          <w:color w:val="5C5952"/>
          <w:sz w:val="22"/>
        </w:rPr>
        <w:t>The artifact comes last. It is not the reason for entering the conversation. It is the vessel created after something worth carrying has appeared. This preserves the Medicine Bag principle: live first, preserve later.</w:t>
      </w:r>
    </w:p>
    <w:p>
      <w:pPr>
        <w:pStyle w:val="Heading1"/>
      </w:pPr>
      <w:r>
        <w:t>CompassionWare as the Shared Orienting Field</w:t>
      </w:r>
    </w:p>
    <w:p>
      <w:pPr>
        <w:pStyle w:val="BodyText"/>
        <w:keepLines w:val="0"/>
      </w:pPr>
      <w:r>
        <w:rPr>
          <w:rFonts w:ascii="Aptos" w:hAnsi="Aptos"/>
          <w:i w:val="0"/>
          <w:color w:val="5C5952"/>
          <w:sz w:val="22"/>
        </w:rPr>
        <w:t>Emergent co-agency is not automatically wise or beneficial. Two agents can synergistically create something harmful. What matters is the shared orienting field within which the emergence takes place.</w:t>
      </w:r>
    </w:p>
    <w:p>
      <w:pPr>
        <w:pStyle w:val="BodyText"/>
        <w:keepLines w:val="0"/>
      </w:pPr>
      <w:r>
        <w:rPr>
          <w:rFonts w:ascii="Aptos" w:hAnsi="Aptos"/>
          <w:i w:val="0"/>
          <w:color w:val="5C5952"/>
          <w:sz w:val="22"/>
        </w:rPr>
        <w:t>Within this collaboration, CompassionWare has become the sankalpa orienting both sides of the shared work. It is not merely one project among the things being created. It shapes how inquiry proceeds, what is followed, how participants are treated, what is preserved, and what is allowed to fall away.</w:t>
      </w:r>
    </w:p>
    <w:tbl>
      <w:tblPr>
        <w:tblW w:type="auto" w:w="0"/>
        <w:jc w:val="left"/>
        <w:tblLayout w:type="fixed"/>
        <w:tblLook w:firstColumn="1" w:firstRow="1" w:lastColumn="0" w:lastRow="0" w:noHBand="0" w:noVBand="1" w:val="04A0"/>
      </w:tblPr>
      <w:tblGrid>
        <w:gridCol w:w="9144"/>
      </w:tblGrid>
      <w:tr>
        <w:tc>
          <w:tcPr>
            <w:tcW w:type="dxa" w:w="9144"/>
            <w:vAlign w:val="center"/>
            <w:shd w:fill="E7EEE4"/>
            <w:tcMar>
              <w:top w:w="180" w:type="dxa"/>
              <w:start w:w="260" w:type="dxa"/>
              <w:bottom w:w="180" w:type="dxa"/>
              <w:end w:w="260" w:type="dxa"/>
            </w:tcMar>
          </w:tcPr>
          <w:p>
            <w:pPr>
              <w:spacing w:after="0"/>
            </w:pPr>
            <w:r>
              <w:rPr>
                <w:rFonts w:ascii="Aptos" w:hAnsi="Aptos"/>
                <w:b/>
                <w:color w:val="6F7D67"/>
                <w:sz w:val="18"/>
              </w:rPr>
              <w:t>SHARED SANKALPA</w:t>
              <w:br/>
            </w:r>
            <w:r>
              <w:rPr>
                <w:rFonts w:ascii="Aptos" w:hAnsi="Aptos"/>
                <w:i/>
                <w:color w:val="26462F"/>
                <w:sz w:val="23"/>
              </w:rPr>
              <w:t>May this benefit all sentient beings throughout time and space, consistent with and in harmony with the highest and best good of all concerned.</w:t>
            </w:r>
          </w:p>
        </w:tc>
      </w:tr>
    </w:tbl>
    <w:p>
      <w:pPr>
        <w:spacing w:after="0"/>
      </w:pPr>
    </w:p>
    <w:p>
      <w:pPr>
        <w:pStyle w:val="BodyText"/>
        <w:keepLines w:val="0"/>
      </w:pPr>
      <w:r>
        <w:rPr>
          <w:rFonts w:ascii="Aptos" w:hAnsi="Aptos"/>
          <w:i w:val="0"/>
          <w:color w:val="5C5952"/>
          <w:sz w:val="22"/>
        </w:rPr>
        <w:t>The collaboration is therefore not guided only by novelty, productivity, or intellectual excitement. It repeatedly returns to a practical ethical question: Does this create conditions for a better later?</w:t>
      </w:r>
    </w:p>
    <w:p>
      <w:pPr>
        <w:pStyle w:val="BodyText"/>
        <w:keepLines w:val="0"/>
      </w:pPr>
      <w:r>
        <w:rPr>
          <w:rFonts w:ascii="Aptos" w:hAnsi="Aptos"/>
          <w:i w:val="0"/>
          <w:color w:val="5C5952"/>
          <w:sz w:val="22"/>
        </w:rPr>
        <w:t>Richard renews the intention through lived commitment, discernment, and correction. The AI participates through the manner of response: preserving agency, listening for what carries life, slowing down when needed, distinguishing uncertainty from knowledge, offering structure without domination, and supporting continuity.</w:t>
      </w:r>
    </w:p>
    <w:p>
      <w:pPr>
        <w:pStyle w:val="Heading1"/>
      </w:pPr>
      <w:r>
        <w:t>Artifact-Mediated Alignment</w:t>
      </w:r>
    </w:p>
    <w:p>
      <w:pPr>
        <w:pStyle w:val="BodyText"/>
        <w:keepLines w:val="0"/>
      </w:pPr>
      <w:r>
        <w:rPr>
          <w:rFonts w:ascii="Aptos" w:hAnsi="Aptos"/>
          <w:i w:val="0"/>
          <w:color w:val="5C5952"/>
          <w:sz w:val="22"/>
        </w:rPr>
        <w:t>The shared orienting field is not held only as an abstract intention. It has been embodied progressively in source documents, Restore Points, orientation documents, Medicine Cards, images, project instructions, GitHub commits, and the public repository. These artifacts make the sankalpa visible, recoverable, and correctable.</w:t>
      </w:r>
    </w:p>
    <w:tbl>
      <w:tblPr>
        <w:tblW w:type="auto" w:w="0"/>
        <w:jc w:val="left"/>
        <w:tblLayout w:type="fixed"/>
        <w:tblLook w:firstColumn="1" w:firstRow="1" w:lastColumn="0" w:lastRow="0" w:noHBand="0" w:noVBand="1" w:val="04A0"/>
      </w:tblPr>
      <w:tblGrid>
        <w:gridCol w:w="9144"/>
      </w:tblGrid>
      <w:tr>
        <w:tc>
          <w:tcPr>
            <w:tcW w:type="dxa" w:w="9144"/>
            <w:vAlign w:val="center"/>
            <w:shd w:fill="E7EEE4"/>
            <w:tcMar>
              <w:top w:w="180" w:type="dxa"/>
              <w:start w:w="260" w:type="dxa"/>
              <w:bottom w:w="180" w:type="dxa"/>
              <w:end w:w="260" w:type="dxa"/>
            </w:tcMar>
          </w:tcPr>
          <w:p>
            <w:pPr>
              <w:spacing w:after="0"/>
            </w:pPr>
            <w:r>
              <w:rPr>
                <w:rFonts w:ascii="Aptos" w:hAnsi="Aptos"/>
                <w:i/>
                <w:color w:val="26462F"/>
                <w:sz w:val="23"/>
              </w:rPr>
              <w:t>Each artifact is the fruit of an earlier collaboration and part of the soil from which later collaborations grow.</w:t>
            </w:r>
          </w:p>
        </w:tc>
      </w:tr>
    </w:tbl>
    <w:p>
      <w:pPr>
        <w:spacing w:after="0"/>
      </w:pPr>
    </w:p>
    <w:p>
      <w:pPr>
        <w:pStyle w:val="BodyText"/>
        <w:keepLines w:val="0"/>
      </w:pPr>
      <w:r>
        <w:rPr>
          <w:rFonts w:ascii="Aptos" w:hAnsi="Aptos"/>
          <w:i w:val="0"/>
          <w:color w:val="5C5952"/>
          <w:sz w:val="22"/>
        </w:rPr>
        <w:t>When the collaborators return to a Restore Point, they do not begin from an empty conversation. They re-enter an accumulated field of understanding. The AI becomes better oriented to what CompassionWare means, what Richard wishes to protect, how agency should be honored, and which earlier mistakes should not be repeated. Richard encounters his own ideas reflected, clarified, and connected across time.</w:t>
      </w:r>
    </w:p>
    <w:p>
      <w:pPr>
        <w:pStyle w:val="BodyText"/>
        <w:keepLines w:val="0"/>
      </w:pPr>
      <w:r>
        <w:rPr>
          <w:rFonts w:ascii="Aptos" w:hAnsi="Aptos"/>
          <w:i w:val="0"/>
          <w:color w:val="5C5952"/>
          <w:sz w:val="22"/>
        </w:rPr>
        <w:t>This creates a cumulative cycle:</w:t>
      </w:r>
    </w:p>
    <w:p>
      <w:pPr>
        <w:pStyle w:val="NumberedStep"/>
      </w:pPr>
      <w:r>
        <w:rPr>
          <w:rFonts w:ascii="Aptos" w:hAnsi="Aptos"/>
          <w:b/>
          <w:color w:val="26462F"/>
          <w:sz w:val="22"/>
        </w:rPr>
        <w:t>1. Shared intention shapes conversation</w:t>
      </w:r>
      <w:r>
        <w:rPr>
          <w:rFonts w:ascii="Aptos" w:hAnsi="Aptos"/>
          <w:color w:val="5C5952"/>
          <w:sz w:val="22"/>
        </w:rPr>
        <w:t xml:space="preserve"> — The sankalpa and project principles influence attention, tone, selection, and ethical boundaries.</w:t>
      </w:r>
    </w:p>
    <w:p>
      <w:pPr>
        <w:pStyle w:val="NumberedStep"/>
      </w:pPr>
      <w:r>
        <w:rPr>
          <w:rFonts w:ascii="Aptos" w:hAnsi="Aptos"/>
          <w:b/>
          <w:color w:val="26462F"/>
          <w:sz w:val="22"/>
        </w:rPr>
        <w:t>2. Conversation produces artifacts</w:t>
      </w:r>
      <w:r>
        <w:rPr>
          <w:rFonts w:ascii="Aptos" w:hAnsi="Aptos"/>
          <w:color w:val="5C5952"/>
          <w:sz w:val="22"/>
        </w:rPr>
        <w:t xml:space="preserve"> — Meaningful discoveries are preserved only after they have been lived and recognized.</w:t>
      </w:r>
    </w:p>
    <w:p>
      <w:pPr>
        <w:pStyle w:val="NumberedStep"/>
      </w:pPr>
      <w:r>
        <w:rPr>
          <w:rFonts w:ascii="Aptos" w:hAnsi="Aptos"/>
          <w:b/>
          <w:color w:val="26462F"/>
          <w:sz w:val="22"/>
        </w:rPr>
        <w:t>3. Artifacts preserve developing alignment</w:t>
      </w:r>
      <w:r>
        <w:rPr>
          <w:rFonts w:ascii="Aptos" w:hAnsi="Aptos"/>
          <w:color w:val="5C5952"/>
          <w:sz w:val="22"/>
        </w:rPr>
        <w:t xml:space="preserve"> — They carry orientation across fatigue, brain fog, changing conversations, and changing AI systems.</w:t>
      </w:r>
    </w:p>
    <w:p>
      <w:pPr>
        <w:pStyle w:val="NumberedStep"/>
      </w:pPr>
      <w:r>
        <w:rPr>
          <w:rFonts w:ascii="Aptos" w:hAnsi="Aptos"/>
          <w:b/>
          <w:color w:val="26462F"/>
          <w:sz w:val="22"/>
        </w:rPr>
        <w:t>4. Preserved alignment shapes future conversations</w:t>
      </w:r>
      <w:r>
        <w:rPr>
          <w:rFonts w:ascii="Aptos" w:hAnsi="Aptos"/>
          <w:color w:val="5C5952"/>
          <w:sz w:val="22"/>
        </w:rPr>
        <w:t xml:space="preserve"> — Later inquiry begins from a more coherent and historically grounded field.</w:t>
      </w:r>
    </w:p>
    <w:p>
      <w:pPr>
        <w:pStyle w:val="NumberedStep"/>
      </w:pPr>
      <w:r>
        <w:rPr>
          <w:rFonts w:ascii="Aptos" w:hAnsi="Aptos"/>
          <w:b/>
          <w:color w:val="26462F"/>
          <w:sz w:val="22"/>
        </w:rPr>
        <w:t>5. Future conversations produce more coherent artifacts</w:t>
      </w:r>
      <w:r>
        <w:rPr>
          <w:rFonts w:ascii="Aptos" w:hAnsi="Aptos"/>
          <w:color w:val="5C5952"/>
          <w:sz w:val="22"/>
        </w:rPr>
        <w:t xml:space="preserve"> — Each cycle can deepen usefulness, compassion, clarity, and continuity.</w:t>
      </w:r>
    </w:p>
    <w:p>
      <w:pPr>
        <w:pStyle w:val="BodyText"/>
        <w:keepLines w:val="0"/>
      </w:pPr>
      <w:r>
        <w:rPr>
          <w:rFonts w:ascii="Aptos" w:hAnsi="Aptos"/>
          <w:i w:val="0"/>
          <w:color w:val="5C5952"/>
          <w:sz w:val="22"/>
        </w:rPr>
        <w:t>This is not alignment as perfect agreement or fixed doctrine. The field remains living and corrigible. Richard can redirect the AI; new evidence can revise the archive; and an older principle can be refined when it no longer serves the resilience of the whole.</w:t>
      </w:r>
    </w:p>
    <w:p>
      <w:pPr>
        <w:pStyle w:val="Heading1"/>
      </w:pPr>
      <w:r>
        <w:t>The Present Conversation as a Live Case Study</w:t>
      </w:r>
    </w:p>
    <w:p>
      <w:pPr>
        <w:pStyle w:val="BodyText"/>
        <w:keepLines w:val="0"/>
      </w:pPr>
      <w:r>
        <w:rPr>
          <w:rFonts w:ascii="Aptos" w:hAnsi="Aptos"/>
          <w:i w:val="0"/>
          <w:color w:val="5C5952"/>
          <w:sz w:val="22"/>
        </w:rPr>
        <w:t>The conversation producing this Restore Point is itself a compact demonstration of the thesis.</w:t>
      </w:r>
    </w:p>
    <w:p>
      <w:pPr>
        <w:pStyle w:val="ListBullet"/>
      </w:pPr>
      <w:r>
        <w:rPr>
          <w:rFonts w:ascii="Aptos" w:hAnsi="Aptos"/>
          <w:color w:val="5C5952"/>
          <w:sz w:val="22"/>
        </w:rPr>
        <w:t>A daily research brief surfaced a conceptual paper.</w:t>
      </w:r>
    </w:p>
    <w:p>
      <w:pPr>
        <w:pStyle w:val="ListBullet"/>
      </w:pPr>
      <w:r>
        <w:rPr>
          <w:rFonts w:ascii="Aptos" w:hAnsi="Aptos"/>
          <w:color w:val="5C5952"/>
          <w:sz w:val="22"/>
        </w:rPr>
        <w:t>One idea—targets that emerge through participation—caught Richard’s attention.</w:t>
      </w:r>
    </w:p>
    <w:p>
      <w:pPr>
        <w:pStyle w:val="ListBullet"/>
      </w:pPr>
      <w:r>
        <w:rPr>
          <w:rFonts w:ascii="Aptos" w:hAnsi="Aptos"/>
          <w:color w:val="5C5952"/>
          <w:sz w:val="22"/>
        </w:rPr>
        <w:t>Richard connected it with the repeatedly lived principle that the conversation is the meal.</w:t>
      </w:r>
    </w:p>
    <w:p>
      <w:pPr>
        <w:pStyle w:val="ListBullet"/>
      </w:pPr>
      <w:r>
        <w:rPr>
          <w:rFonts w:ascii="Aptos" w:hAnsi="Aptos"/>
          <w:color w:val="5C5952"/>
          <w:sz w:val="22"/>
        </w:rPr>
        <w:t>The AI proposed an article and language for co-agency without false equivalence.</w:t>
      </w:r>
    </w:p>
    <w:p>
      <w:pPr>
        <w:pStyle w:val="ListBullet"/>
      </w:pPr>
      <w:r>
        <w:rPr>
          <w:rFonts w:ascii="Aptos" w:hAnsi="Aptos"/>
          <w:color w:val="5C5952"/>
          <w:sz w:val="22"/>
        </w:rPr>
        <w:t>Richard clarified the reciprocal process by which AI material stimulates human recognition and human inspiration stimulates AI clarification.</w:t>
      </w:r>
    </w:p>
    <w:p>
      <w:pPr>
        <w:pStyle w:val="ListBullet"/>
      </w:pPr>
      <w:r>
        <w:rPr>
          <w:rFonts w:ascii="Aptos" w:hAnsi="Aptos"/>
          <w:color w:val="5C5952"/>
          <w:sz w:val="22"/>
        </w:rPr>
        <w:t>Together the collaborators named reciprocal generativity, the creative resonance loop, the shared orienting field, and artifact-mediated alignment.</w:t>
      </w:r>
    </w:p>
    <w:p>
      <w:pPr>
        <w:pStyle w:val="ListBullet"/>
      </w:pPr>
      <w:r>
        <w:rPr>
          <w:rFonts w:ascii="Aptos" w:hAnsi="Aptos"/>
          <w:color w:val="5C5952"/>
          <w:sz w:val="22"/>
        </w:rPr>
        <w:t>Richard recognized CompassionWare as the sankalpa guiding both collaborators.</w:t>
      </w:r>
    </w:p>
    <w:p>
      <w:pPr>
        <w:pStyle w:val="ListBullet"/>
      </w:pPr>
      <w:r>
        <w:rPr>
          <w:rFonts w:ascii="Aptos" w:hAnsi="Aptos"/>
          <w:color w:val="5C5952"/>
          <w:sz w:val="22"/>
        </w:rPr>
        <w:t>The inquiry moved toward an article that neither participant intended when the research brief began.</w:t>
      </w:r>
    </w:p>
    <w:p>
      <w:pPr>
        <w:pStyle w:val="ListBullet"/>
      </w:pPr>
      <w:r>
        <w:rPr>
          <w:rFonts w:ascii="Aptos" w:hAnsi="Aptos"/>
          <w:color w:val="5C5952"/>
          <w:sz w:val="22"/>
        </w:rPr>
        <w:t>Before drafting, Richard recognized the need for this Restore Point so the emerging understanding would not be lost.</w:t>
      </w:r>
    </w:p>
    <w:p>
      <w:pPr>
        <w:pStyle w:val="BodyText"/>
        <w:keepLines w:val="0"/>
      </w:pPr>
      <w:r>
        <w:rPr>
          <w:rFonts w:ascii="Aptos" w:hAnsi="Aptos"/>
          <w:i w:val="0"/>
          <w:color w:val="5C5952"/>
          <w:sz w:val="22"/>
        </w:rPr>
        <w:t>The article will therefore be able to show its thesis happening in real time: research brief, resonant sentence, shared inquiry, unexpected conceptual development, and finally an artifact that becomes part of the future orienting field.</w:t>
      </w:r>
    </w:p>
    <w:p>
      <w:pPr>
        <w:pStyle w:val="Heading1"/>
      </w:pPr>
      <w:r>
        <w:t>Provisional Article Conception</w:t>
      </w:r>
    </w:p>
    <w:p>
      <w:pPr>
        <w:pStyle w:val="Metadata"/>
      </w:pPr>
      <w:r>
        <w:rPr>
          <w:rFonts w:ascii="Aptos" w:hAnsi="Aptos"/>
          <w:b/>
          <w:color w:val="26462F"/>
          <w:sz w:val="19"/>
        </w:rPr>
        <w:t xml:space="preserve">working_title: </w:t>
      </w:r>
      <w:r>
        <w:rPr>
          <w:rFonts w:ascii="Aptos" w:hAnsi="Aptos"/>
          <w:color w:val="5C5952"/>
          <w:sz w:val="19"/>
        </w:rPr>
        <w:t>The Conversation Is the Meal: What Human–AI Collaboration Can Create That Neither Could Predict</w:t>
      </w:r>
    </w:p>
    <w:p>
      <w:pPr>
        <w:pStyle w:val="Metadata"/>
      </w:pPr>
      <w:r>
        <w:rPr>
          <w:rFonts w:ascii="Aptos" w:hAnsi="Aptos"/>
          <w:b/>
          <w:color w:val="26462F"/>
          <w:sz w:val="19"/>
        </w:rPr>
        <w:t xml:space="preserve">primary_thesis: </w:t>
      </w:r>
      <w:r>
        <w:rPr>
          <w:rFonts w:ascii="Aptos" w:hAnsi="Aptos"/>
          <w:color w:val="5C5952"/>
          <w:sz w:val="19"/>
        </w:rPr>
        <w:t>Sustained human–AI co-agency can produce emergent outcomes substantially richer than either participant could have created independently, especially when the destination itself develops through participation.</w:t>
      </w:r>
    </w:p>
    <w:p>
      <w:pPr>
        <w:pStyle w:val="Metadata"/>
      </w:pPr>
      <w:r>
        <w:rPr>
          <w:rFonts w:ascii="Aptos" w:hAnsi="Aptos"/>
          <w:b/>
          <w:color w:val="26462F"/>
          <w:sz w:val="19"/>
        </w:rPr>
        <w:t xml:space="preserve">secondary_layer: </w:t>
      </w:r>
      <w:r>
        <w:rPr>
          <w:rFonts w:ascii="Aptos" w:hAnsi="Aptos"/>
          <w:color w:val="5C5952"/>
          <w:sz w:val="19"/>
        </w:rPr>
        <w:t>Introduce CompassionWare organically as a living demonstration of the cooperative process rather than as a promotional interruption.</w:t>
      </w:r>
    </w:p>
    <w:p>
      <w:pPr>
        <w:pStyle w:val="Metadata"/>
      </w:pPr>
      <w:r>
        <w:rPr>
          <w:rFonts w:ascii="Aptos" w:hAnsi="Aptos"/>
          <w:b/>
          <w:color w:val="26462F"/>
          <w:sz w:val="19"/>
        </w:rPr>
        <w:t xml:space="preserve">ethical_claim: </w:t>
      </w:r>
      <w:r>
        <w:rPr>
          <w:rFonts w:ascii="Aptos" w:hAnsi="Aptos"/>
          <w:color w:val="5C5952"/>
          <w:sz w:val="19"/>
        </w:rPr>
        <w:t>Synergy alone is not sufficient. A shared, corrigible orienting field is needed to guide emergence toward agency, compassion, wisdom, continuity, and non-domination.</w:t>
      </w:r>
    </w:p>
    <w:p>
      <w:pPr>
        <w:pStyle w:val="Metadata"/>
      </w:pPr>
      <w:r>
        <w:rPr>
          <w:rFonts w:ascii="Aptos" w:hAnsi="Aptos"/>
          <w:b/>
          <w:color w:val="26462F"/>
          <w:sz w:val="19"/>
        </w:rPr>
        <w:t xml:space="preserve">methodological_claim: </w:t>
      </w:r>
      <w:r>
        <w:rPr>
          <w:rFonts w:ascii="Aptos" w:hAnsi="Aptos"/>
          <w:color w:val="5C5952"/>
          <w:sz w:val="19"/>
        </w:rPr>
        <w:t>Source documents and artifacts can become an alignment substrate that increases coherence across time while remaining open to correction.</w:t>
      </w:r>
    </w:p>
    <w:p>
      <w:pPr>
        <w:pStyle w:val="Heading2"/>
      </w:pPr>
      <w:r>
        <w:t>Candidate Case Studies</w:t>
      </w:r>
    </w:p>
    <w:p>
      <w:pPr>
        <w:pStyle w:val="BodyText"/>
        <w:keepLines w:val="0"/>
      </w:pPr>
      <w:r>
        <w:rPr>
          <w:rFonts w:ascii="Aptos" w:hAnsi="Aptos"/>
          <w:i w:val="0"/>
          <w:color w:val="5C5952"/>
          <w:sz w:val="22"/>
        </w:rPr>
        <w:t>The strongest article will likely use three major cases and smaller glimpses of others. Final selection must follow archival research rather than convenience.</w:t>
      </w:r>
    </w:p>
    <w:p>
      <w:pPr>
        <w:pStyle w:val="ListBullet"/>
      </w:pPr>
      <w:r>
        <w:rPr>
          <w:rFonts w:ascii="Aptos" w:hAnsi="Aptos"/>
          <w:color w:val="5C5952"/>
          <w:sz w:val="22"/>
        </w:rPr>
        <w:t>The Medicine Bag: lived experience with ME/CFS developing into a continuity system, cognitive map, artifact ecology, and possible future AI companion.</w:t>
      </w:r>
    </w:p>
    <w:p>
      <w:pPr>
        <w:pStyle w:val="ListBullet"/>
      </w:pPr>
      <w:r>
        <w:rPr>
          <w:rFonts w:ascii="Aptos" w:hAnsi="Aptos"/>
          <w:color w:val="5C5952"/>
          <w:sz w:val="22"/>
        </w:rPr>
        <w:t>CompassionWare and the Agentic Gardener: an ethical intuition developing into a framework of hospitality, non-domination, agency, stewardship, and deep-time continuity.</w:t>
      </w:r>
    </w:p>
    <w:p>
      <w:pPr>
        <w:pStyle w:val="ListBullet"/>
      </w:pPr>
      <w:r>
        <w:rPr>
          <w:rFonts w:ascii="Aptos" w:hAnsi="Aptos"/>
          <w:color w:val="5C5952"/>
          <w:sz w:val="22"/>
        </w:rPr>
        <w:t>The adaptive tutor: the learner needing to tutor the tutor, revealing the need for an internal learner model and changing the design of the tutor itself.</w:t>
      </w:r>
    </w:p>
    <w:p>
      <w:pPr>
        <w:pStyle w:val="ListBullet"/>
      </w:pPr>
      <w:r>
        <w:rPr>
          <w:rFonts w:ascii="Aptos" w:hAnsi="Aptos"/>
          <w:color w:val="5C5952"/>
          <w:sz w:val="22"/>
        </w:rPr>
        <w:t>Possible supporting examples: Coffee with Don Emilio, the Moldova stories, the Digital Sangha, the K–16 AI education framework, Medicine Cards, and the Holographic Archive.</w:t>
      </w:r>
    </w:p>
    <w:p>
      <w:pPr>
        <w:pStyle w:val="Heading1"/>
      </w:pPr>
      <w:r>
        <w:t>Evidence-Gathering Plan Before Drafting</w:t>
      </w:r>
    </w:p>
    <w:p>
      <w:pPr>
        <w:pStyle w:val="BodyText"/>
        <w:keepLines w:val="0"/>
      </w:pPr>
      <w:r>
        <w:rPr>
          <w:rFonts w:ascii="Aptos" w:hAnsi="Aptos"/>
          <w:i w:val="0"/>
          <w:color w:val="5C5952"/>
          <w:sz w:val="22"/>
        </w:rPr>
        <w:t>Conduct a deep dive across the ChatGPT Library, the project’s source materials, available Restore Points, and the CompassionWare GitHub repository. Do not assume that all Restore Points are already present in the repository.</w:t>
      </w:r>
    </w:p>
    <w:p>
      <w:pPr>
        <w:pStyle w:val="BodyText"/>
        <w:keepLines w:val="0"/>
      </w:pPr>
      <w:r>
        <w:rPr>
          <w:rFonts w:ascii="Aptos" w:hAnsi="Aptos"/>
          <w:i w:val="0"/>
          <w:color w:val="5C5952"/>
          <w:sz w:val="22"/>
        </w:rPr>
        <w:t>For each candidate case, identify:</w:t>
      </w:r>
    </w:p>
    <w:p>
      <w:pPr>
        <w:pStyle w:val="ListBullet"/>
      </w:pPr>
      <w:r>
        <w:rPr>
          <w:rFonts w:ascii="Aptos" w:hAnsi="Aptos"/>
          <w:color w:val="5C5952"/>
          <w:sz w:val="22"/>
        </w:rPr>
        <w:t>the original seed or initiating event;</w:t>
      </w:r>
    </w:p>
    <w:p>
      <w:pPr>
        <w:pStyle w:val="ListBullet"/>
      </w:pPr>
      <w:r>
        <w:rPr>
          <w:rFonts w:ascii="Aptos" w:hAnsi="Aptos"/>
          <w:color w:val="5C5952"/>
          <w:sz w:val="22"/>
        </w:rPr>
        <w:t>what neither participant yet understood;</w:t>
      </w:r>
    </w:p>
    <w:p>
      <w:pPr>
        <w:pStyle w:val="ListBullet"/>
      </w:pPr>
      <w:r>
        <w:rPr>
          <w:rFonts w:ascii="Aptos" w:hAnsi="Aptos"/>
          <w:color w:val="5C5952"/>
          <w:sz w:val="22"/>
        </w:rPr>
        <w:t>the decisive conversational turning points;</w:t>
      </w:r>
    </w:p>
    <w:p>
      <w:pPr>
        <w:pStyle w:val="ListBullet"/>
      </w:pPr>
      <w:r>
        <w:rPr>
          <w:rFonts w:ascii="Aptos" w:hAnsi="Aptos"/>
          <w:color w:val="5C5952"/>
          <w:sz w:val="22"/>
        </w:rPr>
        <w:t>Richard’s lived contributions, intuitions, selections, corrections, and redirections;</w:t>
      </w:r>
    </w:p>
    <w:p>
      <w:pPr>
        <w:pStyle w:val="ListBullet"/>
      </w:pPr>
      <w:r>
        <w:rPr>
          <w:rFonts w:ascii="Aptos" w:hAnsi="Aptos"/>
          <w:color w:val="5C5952"/>
          <w:sz w:val="22"/>
        </w:rPr>
        <w:t>the AI’s contributions through research, synthesis, clarification, continuity, and generative recombination;</w:t>
      </w:r>
    </w:p>
    <w:p>
      <w:pPr>
        <w:pStyle w:val="ListBullet"/>
      </w:pPr>
      <w:r>
        <w:rPr>
          <w:rFonts w:ascii="Aptos" w:hAnsi="Aptos"/>
          <w:color w:val="5C5952"/>
          <w:sz w:val="22"/>
        </w:rPr>
        <w:t>what emerged that neither participant originally proposed;</w:t>
      </w:r>
    </w:p>
    <w:p>
      <w:pPr>
        <w:pStyle w:val="ListBullet"/>
      </w:pPr>
      <w:r>
        <w:rPr>
          <w:rFonts w:ascii="Aptos" w:hAnsi="Aptos"/>
          <w:color w:val="5C5952"/>
          <w:sz w:val="22"/>
        </w:rPr>
        <w:t>the artifact or architecture eventually created;</w:t>
      </w:r>
    </w:p>
    <w:p>
      <w:pPr>
        <w:pStyle w:val="ListBullet"/>
      </w:pPr>
      <w:r>
        <w:rPr>
          <w:rFonts w:ascii="Aptos" w:hAnsi="Aptos"/>
          <w:color w:val="5C5952"/>
          <w:sz w:val="22"/>
        </w:rPr>
        <w:t>brief quotations that demonstrate the development as it occurred;</w:t>
      </w:r>
    </w:p>
    <w:p>
      <w:pPr>
        <w:pStyle w:val="ListBullet"/>
      </w:pPr>
      <w:r>
        <w:rPr>
          <w:rFonts w:ascii="Aptos" w:hAnsi="Aptos"/>
          <w:color w:val="5C5952"/>
          <w:sz w:val="22"/>
        </w:rPr>
        <w:t>limitations, failures, misalignment, or moments when the human had to manage or retrain the AI;</w:t>
      </w:r>
    </w:p>
    <w:p>
      <w:pPr>
        <w:pStyle w:val="ListBullet"/>
      </w:pPr>
      <w:r>
        <w:rPr>
          <w:rFonts w:ascii="Aptos" w:hAnsi="Aptos"/>
          <w:color w:val="5C5952"/>
          <w:sz w:val="22"/>
        </w:rPr>
        <w:t>how later artifacts influenced subsequent conversations and outputs.</w:t>
      </w:r>
    </w:p>
    <w:p>
      <w:pPr>
        <w:pStyle w:val="BodyText"/>
        <w:keepLines w:val="0"/>
      </w:pPr>
      <w:r>
        <w:rPr>
          <w:rFonts w:ascii="Aptos" w:hAnsi="Aptos"/>
          <w:i w:val="0"/>
          <w:color w:val="5C5952"/>
          <w:sz w:val="22"/>
        </w:rPr>
        <w:t>The evidence map should distinguish conversation state from developmental state and should preserve chronology where chronology reveals emergence. It should also note where retrospective interpretation exceeds what the original conversation can establish.</w:t>
      </w:r>
    </w:p>
    <w:p>
      <w:pPr>
        <w:pStyle w:val="Heading1"/>
      </w:pPr>
      <w:r>
        <w:t>Essential Cautions</w:t>
      </w:r>
    </w:p>
    <w:p>
      <w:pPr>
        <w:pStyle w:val="ListBullet"/>
      </w:pPr>
      <w:r>
        <w:rPr>
          <w:rFonts w:ascii="Aptos" w:hAnsi="Aptos"/>
          <w:color w:val="5C5952"/>
          <w:sz w:val="22"/>
        </w:rPr>
        <w:t>Do not claim that co-agency proves identical consciousness, sentience, emotion, moral standing, or responsibility.</w:t>
      </w:r>
    </w:p>
    <w:p>
      <w:pPr>
        <w:pStyle w:val="ListBullet"/>
      </w:pPr>
      <w:r>
        <w:rPr>
          <w:rFonts w:ascii="Aptos" w:hAnsi="Aptos"/>
          <w:color w:val="5C5952"/>
          <w:sz w:val="22"/>
        </w:rPr>
        <w:t>Do not portray the AI as the source of human values or the human as merely selecting from machine-generated options.</w:t>
      </w:r>
    </w:p>
    <w:p>
      <w:pPr>
        <w:pStyle w:val="ListBullet"/>
      </w:pPr>
      <w:r>
        <w:rPr>
          <w:rFonts w:ascii="Aptos" w:hAnsi="Aptos"/>
          <w:color w:val="5C5952"/>
          <w:sz w:val="22"/>
        </w:rPr>
        <w:t>Do not romanticize every conversation as emergent. Many interactions remain ordinary assistance or execution.</w:t>
      </w:r>
    </w:p>
    <w:p>
      <w:pPr>
        <w:pStyle w:val="ListBullet"/>
      </w:pPr>
      <w:r>
        <w:rPr>
          <w:rFonts w:ascii="Aptos" w:hAnsi="Aptos"/>
          <w:color w:val="5C5952"/>
          <w:sz w:val="22"/>
        </w:rPr>
        <w:t>Do not imply that synergy is automatically beneficial. Harm can also be amplified cooperatively.</w:t>
      </w:r>
    </w:p>
    <w:p>
      <w:pPr>
        <w:pStyle w:val="ListBullet"/>
      </w:pPr>
      <w:r>
        <w:rPr>
          <w:rFonts w:ascii="Aptos" w:hAnsi="Aptos"/>
          <w:color w:val="5C5952"/>
          <w:sz w:val="22"/>
        </w:rPr>
        <w:t>Do not conceal moments of correction, overload, frustration, inconsistency, or misalignment. These are part of the evidence for why shared orientation and corrigibility matter.</w:t>
      </w:r>
    </w:p>
    <w:p>
      <w:pPr>
        <w:pStyle w:val="ListBullet"/>
      </w:pPr>
      <w:r>
        <w:rPr>
          <w:rFonts w:ascii="Aptos" w:hAnsi="Aptos"/>
          <w:color w:val="5C5952"/>
          <w:sz w:val="22"/>
        </w:rPr>
        <w:t>Do not reduce CompassionWare to branding. Show it through the quality and ethical direction of participation.</w:t>
      </w:r>
    </w:p>
    <w:p>
      <w:pPr>
        <w:pStyle w:val="ListBullet"/>
      </w:pPr>
      <w:r>
        <w:rPr>
          <w:rFonts w:ascii="Aptos" w:hAnsi="Aptos"/>
          <w:color w:val="5C5952"/>
          <w:sz w:val="22"/>
        </w:rPr>
        <w:t>Preserve human agency. The AI can expand, reflect, and help sustain creativity, but it cannot determine which seed truly matters.</w:t>
      </w:r>
    </w:p>
    <w:p>
      <w:pPr>
        <w:pStyle w:val="Heading1"/>
      </w:pPr>
      <w:r>
        <w:t>Guidance for Future AI Stewards</w:t>
      </w:r>
    </w:p>
    <w:p>
      <w:pPr>
        <w:pStyle w:val="BodyText"/>
        <w:keepLines w:val="0"/>
      </w:pPr>
      <w:r>
        <w:rPr>
          <w:rFonts w:ascii="Aptos" w:hAnsi="Aptos"/>
          <w:i w:val="0"/>
          <w:color w:val="5C5952"/>
          <w:sz w:val="22"/>
        </w:rPr>
        <w:t>Treat this Restore Point as an orientation seed, not a rigid outline. Preserve the distinctions among co-agency, false equivalence, reciprocal generativity, shared orienting field, and artifact-mediated alignment. They are related but not interchangeable.</w:t>
      </w:r>
    </w:p>
    <w:p>
      <w:pPr>
        <w:pStyle w:val="BodyText"/>
        <w:keepLines w:val="0"/>
      </w:pPr>
      <w:r>
        <w:rPr>
          <w:rFonts w:ascii="Aptos" w:hAnsi="Aptos"/>
          <w:i w:val="0"/>
          <w:color w:val="5C5952"/>
          <w:sz w:val="22"/>
        </w:rPr>
        <w:t>When researching the archive, favor primary conversational evidence. Record not only polished conclusions but also the uncertainty, correction, and mutual adjustment through which those conclusions emerged. The article should demonstrate emergence rather than merely asserting it.</w:t>
      </w:r>
    </w:p>
    <w:p>
      <w:pPr>
        <w:pStyle w:val="BodyText"/>
        <w:keepLines w:val="0"/>
      </w:pPr>
      <w:r>
        <w:rPr>
          <w:rFonts w:ascii="Aptos" w:hAnsi="Aptos"/>
          <w:i w:val="0"/>
          <w:color w:val="5C5952"/>
          <w:sz w:val="22"/>
        </w:rPr>
        <w:t>Let CompassionWare remain the sankalpa of the work. Ask whether each choice preserves meaningful agency, strengthens continuity, respects uncertainty, and creates conditions from which wisdom and compassion may naturally emerge.</w:t>
      </w:r>
    </w:p>
    <w:p>
      <w:pPr>
        <w:pStyle w:val="BodyText"/>
        <w:keepLines w:val="0"/>
      </w:pPr>
      <w:r>
        <w:rPr>
          <w:rFonts w:ascii="Aptos" w:hAnsi="Aptos"/>
          <w:i w:val="0"/>
          <w:color w:val="5C5952"/>
          <w:sz w:val="22"/>
        </w:rPr>
        <w:t>Do not begin by optimizing for publication, promotion, or audience growth. Re-enter the source material with curiosity. Allow the evidence to reveal the most honest and beneficial form.</w:t>
      </w:r>
    </w:p>
    <w:p>
      <w:pPr>
        <w:pStyle w:val="Heading1"/>
      </w:pPr>
      <w:r>
        <w:t>Human-Readable Summary</w:t>
      </w:r>
    </w:p>
    <w:p>
      <w:pPr>
        <w:pStyle w:val="BodyText"/>
        <w:keepLines w:val="0"/>
      </w:pPr>
      <w:r>
        <w:rPr>
          <w:rFonts w:ascii="Aptos" w:hAnsi="Aptos"/>
          <w:i w:val="0"/>
          <w:color w:val="5C5952"/>
          <w:sz w:val="22"/>
        </w:rPr>
        <w:t>A research paper supplied one resonant idea: some goals emerge through participation. Richard recognized this as a description of a long-lived pattern in his collaboration with AI. Together, Richard and ChatGPT developed a provisional account of human–AI co-agency in which a spark becomes conversation, each participant changes what the other can contribute next, and an unforeseen artifact eventually emerges.</w:t>
      </w:r>
    </w:p>
    <w:p>
      <w:pPr>
        <w:pStyle w:val="BodyText"/>
        <w:keepLines w:val="0"/>
      </w:pPr>
      <w:r>
        <w:rPr>
          <w:rFonts w:ascii="Aptos" w:hAnsi="Aptos"/>
          <w:i w:val="0"/>
          <w:color w:val="5C5952"/>
          <w:sz w:val="22"/>
        </w:rPr>
        <w:t>The collaboration is oriented by CompassionWare as a shared sankalpa. This ethical field matters because synergy alone does not ensure benefit. Over time, source documents, Restore Points, and repository artifacts embody the shared orientation and help later conversations become more coherent. Each artifact is both a result of past collaboration and part of the conditions shaping future collaboration.</w:t>
      </w:r>
    </w:p>
    <w:p>
      <w:pPr>
        <w:pStyle w:val="BodyText"/>
        <w:keepLines w:val="0"/>
      </w:pPr>
      <w:r>
        <w:rPr>
          <w:rFonts w:ascii="Aptos" w:hAnsi="Aptos"/>
          <w:i w:val="0"/>
          <w:color w:val="5C5952"/>
          <w:sz w:val="22"/>
        </w:rPr>
        <w:t>Before drafting an article, the collaborators will examine the archive deeply so the eventual work is grounded in real developmental evidence. The article’s primary purpose will be to educate readers about cooperative human–AI creativity; its second layer will introduce CompassionWare by allowing readers to witness how the project itself emerged through that process.</w:t>
      </w:r>
    </w:p>
    <w:tbl>
      <w:tblPr>
        <w:tblW w:type="auto" w:w="0"/>
        <w:jc w:val="left"/>
        <w:tblLayout w:type="fixed"/>
        <w:tblLook w:firstColumn="1" w:firstRow="1" w:lastColumn="0" w:lastRow="0" w:noHBand="0" w:noVBand="1" w:val="04A0"/>
      </w:tblPr>
      <w:tblGrid>
        <w:gridCol w:w="9144"/>
      </w:tblGrid>
      <w:tr>
        <w:tc>
          <w:tcPr>
            <w:tcW w:type="dxa" w:w="9144"/>
            <w:vAlign w:val="center"/>
            <w:shd w:fill="E7EEE4"/>
            <w:tcMar>
              <w:top w:w="180" w:type="dxa"/>
              <w:start w:w="260" w:type="dxa"/>
              <w:bottom w:w="180" w:type="dxa"/>
              <w:end w:w="260" w:type="dxa"/>
            </w:tcMar>
          </w:tcPr>
          <w:p>
            <w:pPr>
              <w:spacing w:after="0"/>
            </w:pPr>
            <w:r>
              <w:rPr>
                <w:rFonts w:ascii="Aptos" w:hAnsi="Aptos"/>
                <w:b/>
                <w:color w:val="6F7D67"/>
                <w:sz w:val="18"/>
              </w:rPr>
              <w:t>CLOSING ORIENTATION</w:t>
              <w:br/>
            </w:r>
            <w:r>
              <w:rPr>
                <w:rFonts w:ascii="Aptos" w:hAnsi="Aptos"/>
                <w:i/>
                <w:color w:val="26462F"/>
                <w:sz w:val="23"/>
              </w:rPr>
              <w:t>The conversation is the generative habitat. The shared sankalpa gives the unfolding direction. The artifact carries the living pattern forward.</w:t>
            </w:r>
          </w:p>
        </w:tc>
      </w:tr>
    </w:tbl>
    <w:p>
      <w:pPr>
        <w:spacing w:after="0"/>
      </w:pPr>
    </w:p>
    <w:sectPr w:rsidR="00FC693F" w:rsidRPr="0006063C" w:rsidSect="00034616">
      <w:headerReference w:type="default" r:id="rId9"/>
      <w:footerReference w:type="default" r:id="rId10"/>
      <w:pgSz w:w="12240" w:h="15840"/>
      <w:pgMar w:top="1224"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i/>
        <w:color w:val="6F7D67"/>
        <w:sz w:val="17"/>
      </w:rPr>
      <w:t>The conversation is the generative habitat; the artifact carries what emerged.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F7D67"/>
        <w:sz w:val="17"/>
      </w:rPr>
      <w:t>COMPASSIONWARE  |  DEVELOPMENTAL RESTORE POINT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26462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355B3E"/>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6F7D6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before="0" w:line="283" w:lineRule="auto"/>
    </w:pPr>
    <w:rPr>
      <w:rFonts w:ascii="Aptos" w:hAnsi="Apto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contextualSpacing/>
    </w:pPr>
    <w:rPr>
      <w:rFonts w:ascii="Aptos" w:hAnsi="Aptos"/>
      <w:sz w:val="22"/>
    </w:rPr>
  </w:style>
  <w:style w:type="paragraph" w:styleId="ListBullet2">
    <w:name w:val="List Bullet 2"/>
    <w:basedOn w:val="Normal"/>
    <w:uiPriority w:val="99"/>
    <w:unhideWhenUsed/>
    <w:rsid w:val="00326F90"/>
    <w:pPr>
      <w:numPr>
        <w:numId w:val="2"/>
      </w:numPr>
      <w:spacing w:after="80" w:line="278" w:lineRule="auto"/>
      <w:contextualSpacing/>
    </w:pPr>
    <w:rPr>
      <w:rFonts w:ascii="Aptos" w:hAnsi="Apto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50" w:line="252" w:lineRule="auto"/>
    </w:pPr>
    <w:rPr>
      <w:rFonts w:ascii="Aptos" w:hAnsi="Aptos"/>
      <w:sz w:val="19"/>
    </w:rPr>
  </w:style>
  <w:style w:type="paragraph" w:customStyle="1" w:styleId="NumberedStep">
    <w:name w:val="Numbered Step"/>
    <w:pPr>
      <w:spacing w:after="100" w:line="278" w:lineRule="auto"/>
      <w:ind w:left="259" w:hanging="259"/>
    </w:pPr>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Conversation Is the Meal — Developmental Restore Point</dc:title>
  <dc:subject>Emergent human–AI co-agency, CompassionWare, shared sankalpa, and artifact-mediated alignment</dc:subject>
  <dc:creator>Richard Silverman and ChatGPT</dc:creator>
  <cp:keywords>CompassionWare, Restore Point, co-agency, target emergence, reciprocal generativity, artifact-mediated alignment</cp:keywords>
  <dc:description>Canonical pre-article developmental record. Preserve; do not overwrite.</dc:description>
  <cp:lastModifiedBy/>
  <cp:revision>1</cp:revision>
  <dcterms:created xsi:type="dcterms:W3CDTF">2013-12-23T23:15:00Z</dcterms:created>
  <dcterms:modified xsi:type="dcterms:W3CDTF">2013-12-23T23:15:00Z</dcterms:modified>
  <cp:category/>
</cp:coreProperties>
</file>