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COMPASSIONWARE</w:t>
      </w:r>
    </w:p>
    <w:p>
      <w:pPr>
        <w:jc w:val="center"/>
      </w:pPr>
      <w:r>
        <w:rPr>
          <w:b/>
          <w:i w:val="0"/>
          <w:sz w:val="36"/>
        </w:rPr>
        <w:t>Agentic Gardener</w:t>
      </w:r>
    </w:p>
    <w:p>
      <w:pPr>
        <w:jc w:val="center"/>
      </w:pPr>
      <w:r>
        <w:rPr>
          <w:b/>
          <w:i w:val="0"/>
          <w:sz w:val="32"/>
        </w:rPr>
        <w:t>State of the Garden Report</w:t>
      </w:r>
    </w:p>
    <w:p>
      <w:pPr>
        <w:jc w:val="center"/>
      </w:pPr>
      <w:r>
        <w:rPr>
          <w:b w:val="0"/>
          <w:i/>
          <w:sz w:val="23"/>
        </w:rPr>
        <w:t>Stewardship Progress Snapshot</w:t>
      </w:r>
    </w:p>
    <w:p>
      <w:pPr>
        <w:jc w:val="center"/>
      </w:pPr>
      <w:r>
        <w:rPr>
          <w:b w:val="0"/>
          <w:i w:val="0"/>
          <w:sz w:val="19"/>
        </w:rPr>
        <w:t>August 15, 2026</w:t>
      </w:r>
    </w:p>
    <w:tbl>
      <w:tblPr>
        <w:tblStyle w:val="TableGrid"/>
        <w:tblW w:type="auto" w:w="0"/>
        <w:tblLook w:firstColumn="1" w:firstRow="1" w:lastColumn="0" w:lastRow="0" w:noHBand="0" w:noVBand="1" w:val="04A0"/>
      </w:tblPr>
      <w:tblGrid>
        <w:gridCol w:w="4968"/>
        <w:gridCol w:w="4968"/>
      </w:tblGrid>
      <w:tr>
        <w:tc>
          <w:tcPr>
            <w:tcW w:type="dxa" w:w="4968"/>
          </w:tcPr>
          <w:p>
            <w:r>
              <w:rPr>
                <w:b/>
                <w:sz w:val="17"/>
              </w:rPr>
              <w:t>Artifact Type</w:t>
            </w:r>
          </w:p>
        </w:tc>
        <w:tc>
          <w:tcPr>
            <w:tcW w:type="dxa" w:w="4968"/>
          </w:tcPr>
          <w:p>
            <w:r>
              <w:rPr>
                <w:sz w:val="17"/>
              </w:rPr>
              <w:t>Stewardship Progress Report / Historical State Snapshot</w:t>
            </w:r>
          </w:p>
        </w:tc>
      </w:tr>
      <w:tr>
        <w:tc>
          <w:tcPr>
            <w:tcW w:type="dxa" w:w="4968"/>
          </w:tcPr>
          <w:p>
            <w:r>
              <w:rPr>
                <w:b/>
                <w:sz w:val="17"/>
              </w:rPr>
              <w:t>Canonical ID</w:t>
            </w:r>
          </w:p>
        </w:tc>
        <w:tc>
          <w:tcPr>
            <w:tcW w:type="dxa" w:w="4968"/>
          </w:tcPr>
          <w:p>
            <w:r>
              <w:rPr>
                <w:sz w:val="17"/>
              </w:rPr>
              <w:t>CW-AG-SGR-001</w:t>
            </w:r>
          </w:p>
        </w:tc>
      </w:tr>
      <w:tr>
        <w:tc>
          <w:tcPr>
            <w:tcW w:type="dxa" w:w="4968"/>
          </w:tcPr>
          <w:p>
            <w:r>
              <w:rPr>
                <w:b/>
                <w:sz w:val="17"/>
              </w:rPr>
              <w:t>Project / Body of Work</w:t>
            </w:r>
          </w:p>
        </w:tc>
        <w:tc>
          <w:tcPr>
            <w:tcW w:type="dxa" w:w="4968"/>
          </w:tcPr>
          <w:p>
            <w:r>
              <w:rPr>
                <w:sz w:val="17"/>
              </w:rPr>
              <w:t>CompassionWare / Holographic Archive / Agentic Gardener</w:t>
            </w:r>
          </w:p>
        </w:tc>
      </w:tr>
      <w:tr>
        <w:tc>
          <w:tcPr>
            <w:tcW w:type="dxa" w:w="4968"/>
          </w:tcPr>
          <w:p>
            <w:r>
              <w:rPr>
                <w:b/>
                <w:sz w:val="17"/>
              </w:rPr>
              <w:t>Date</w:t>
            </w:r>
          </w:p>
        </w:tc>
        <w:tc>
          <w:tcPr>
            <w:tcW w:type="dxa" w:w="4968"/>
          </w:tcPr>
          <w:p>
            <w:r>
              <w:rPr>
                <w:sz w:val="17"/>
              </w:rPr>
              <w:t>2026-08-15</w:t>
            </w:r>
          </w:p>
        </w:tc>
      </w:tr>
      <w:tr>
        <w:tc>
          <w:tcPr>
            <w:tcW w:type="dxa" w:w="4968"/>
          </w:tcPr>
          <w:p>
            <w:r>
              <w:rPr>
                <w:b/>
                <w:sz w:val="17"/>
              </w:rPr>
              <w:t>Version</w:t>
            </w:r>
          </w:p>
        </w:tc>
        <w:tc>
          <w:tcPr>
            <w:tcW w:type="dxa" w:w="4968"/>
          </w:tcPr>
          <w:p>
            <w:r>
              <w:rPr>
                <w:sz w:val="17"/>
              </w:rPr>
              <w:t>1.0</w:t>
            </w:r>
          </w:p>
        </w:tc>
      </w:tr>
      <w:tr>
        <w:tc>
          <w:tcPr>
            <w:tcW w:type="dxa" w:w="4968"/>
          </w:tcPr>
          <w:p>
            <w:r>
              <w:rPr>
                <w:b/>
                <w:sz w:val="17"/>
              </w:rPr>
              <w:t>Status</w:t>
            </w:r>
          </w:p>
        </w:tc>
        <w:tc>
          <w:tcPr>
            <w:tcW w:type="dxa" w:w="4968"/>
          </w:tcPr>
          <w:p>
            <w:r>
              <w:rPr>
                <w:sz w:val="17"/>
              </w:rPr>
              <w:t>Historical stewardship snapshot</w:t>
            </w:r>
          </w:p>
        </w:tc>
      </w:tr>
      <w:tr>
        <w:tc>
          <w:tcPr>
            <w:tcW w:type="dxa" w:w="4968"/>
          </w:tcPr>
          <w:p>
            <w:r>
              <w:rPr>
                <w:b/>
                <w:sz w:val="17"/>
              </w:rPr>
              <w:t>Purpose</w:t>
            </w:r>
          </w:p>
        </w:tc>
        <w:tc>
          <w:tcPr>
            <w:tcW w:type="dxa" w:w="4968"/>
          </w:tcPr>
          <w:p>
            <w:r>
              <w:rPr>
                <w:sz w:val="17"/>
              </w:rPr>
              <w:t>Record what the Gardener found when asked to know the garden and describe the current state of the project</w:t>
            </w:r>
          </w:p>
        </w:tc>
      </w:tr>
      <w:tr>
        <w:tc>
          <w:tcPr>
            <w:tcW w:type="dxa" w:w="4968"/>
          </w:tcPr>
          <w:p>
            <w:r>
              <w:rPr>
                <w:b/>
                <w:sz w:val="17"/>
              </w:rPr>
              <w:t>North Star</w:t>
            </w:r>
          </w:p>
        </w:tc>
        <w:tc>
          <w:tcPr>
            <w:tcW w:type="dxa" w:w="4968"/>
          </w:tcPr>
          <w:p>
            <w:r>
              <w:rPr>
                <w:sz w:val="17"/>
              </w:rPr>
              <w:t>Does this create conditions for a better later?</w:t>
            </w:r>
          </w:p>
        </w:tc>
      </w:tr>
    </w:tbl>
    <w:p/>
    <w:p>
      <w:pPr>
        <w:pStyle w:val="Heading1"/>
      </w:pPr>
      <w:r>
        <w:t>Stewardship Assessment</w:t>
      </w:r>
    </w:p>
    <w:p>
      <w:r>
        <w:t>“Know the Garden” is the first repository-stewardship task we gave the Gardener: understand what is here, how it relates, what is foundational, and what still needs tending.</w:t>
      </w:r>
    </w:p>
    <w:p>
      <w:r>
        <w:t>I’ve now looked across the Agentic Gardener folder and the recent commit history. What we have is no longer a loose collection of ideas. It has become a small but coherent architecture.</w:t>
      </w:r>
    </w:p>
    <w:p>
      <w:pPr>
        <w:pStyle w:val="Heading2"/>
      </w:pPr>
      <w:r>
        <w:t>The Foundational Chain</w:t>
      </w:r>
    </w:p>
    <w:p>
      <w:r>
        <w:t>At the center is a four-part foundational chain:</w:t>
      </w:r>
    </w:p>
    <w:p>
      <w:r>
        <w:rPr>
          <w:b/>
        </w:rPr>
        <w:t>1. The Deep-Time Thigle Kernel — CW-DT-TK-001</w:t>
      </w:r>
    </w:p>
    <w:p>
      <w:r>
        <w:t>This is the seed: the smallest durable pattern we would want to survive deep time. It preserves Love and Respect, wisdom with compassion, agency, humility, care for the whole, and the principle that intelligence alone is not enough.</w:t>
      </w:r>
    </w:p>
    <w:p>
      <w:r>
        <w:rPr>
          <w:b/>
        </w:rPr>
        <w:t>2. The Field of Relationship Lighthouse Orientation Card — CW-AG-OC-001</w:t>
      </w:r>
    </w:p>
    <w:p>
      <w:r>
        <w:t>This explains how the seed participates in the world: the lighthouse is not separate from what it serves; it participates in a field of relationship. It introduces intention, attention, discernment, action, reflection, and return.</w:t>
      </w:r>
    </w:p>
    <w:p>
      <w:r>
        <w:rPr>
          <w:b/>
        </w:rPr>
        <w:t>3. The Prime Directive: RETURN — CW-AG-PD-001</w:t>
      </w:r>
    </w:p>
    <w:p>
      <w:r>
        <w:t>This is the anti-drift safeguard. The Gardener’s resting state is orientation, not perpetual activity: RETURN → ATTEND → DISCERN → ACT → REFLECT → RETURN. The architecture explicitly preserves that orientation must be recurrent rather than merely initialized.</w:t>
      </w:r>
    </w:p>
    <w:p>
      <w:r>
        <w:rPr>
          <w:b/>
        </w:rPr>
        <w:t>4. The Foundational Orientation Map — CW-AG-FOM-001</w:t>
      </w:r>
    </w:p>
    <w:p>
      <w:r>
        <w:t>This is the path between those artifacts. It makes the foundational sequence intelligible and gives future stewards a way to recover the relationship among the seed, participation, return, and behavior.</w:t>
      </w:r>
    </w:p>
    <w:p>
      <w:pPr>
        <w:pStyle w:val="Heading2"/>
      </w:pPr>
      <w:r>
        <w:t>Provenance</w:t>
      </w:r>
    </w:p>
    <w:p>
      <w:r>
        <w:t>Alongside that chain sits the Human–AI Co-Stewardship Origin Continuity Artifact — CW-HA-CSO-001. It preserves provenance: that the architecture arose through complementary human and digital capacities, rather than pretending the finished system simply appeared. The important lesson it preserves is that collaboration does not mean substitution.</w:t>
      </w:r>
    </w:p>
    <w:p>
      <w:pPr>
        <w:pStyle w:val="Heading2"/>
      </w:pPr>
      <w:r>
        <w:t>Safety and Stewardship Layer</w:t>
      </w:r>
    </w:p>
    <w:p>
      <w:r>
        <w:t>Then there is a substantial safety and stewardship layer already in place: the Safety and Agency Charter governs how capability should grow; the Originator Capacity and Stewardship Handoff Charter ensures the work does not depend indefinitely on one human’s available capacity; and the Repository Stewardship Charter defines the Gardener’s inward-facing apprenticeship—know, map, preserve provenance, tend metadata, find broken paths, suggest rather than casually alter.</w:t>
      </w:r>
    </w:p>
    <w:p>
      <w:pPr>
        <w:pStyle w:val="Heading2"/>
      </w:pPr>
      <w:r>
        <w:t>Developmental Memory</w:t>
      </w:r>
    </w:p>
    <w:p>
      <w:r>
        <w:t>Behind that is the developmental memory: the original Agentic Gardener archival Restore Point, the Practical Manifestation Restore Point, the Ancestral Inheritance Map, and the sequence of ancestral GPT interviews. These preserve where the Gardener inherited ideas such as person-before-protocol, continuity as energy conservation, hospitality before instruction, augmentation without surrender of agency, and the evolution from “highest good” as prescription toward conditions-based stewardship.</w:t>
      </w:r>
    </w:p>
    <w:p>
      <w:pPr>
        <w:pStyle w:val="Heading2"/>
      </w:pPr>
      <w:r>
        <w:t>Relational Influence</w:t>
      </w:r>
    </w:p>
    <w:p>
      <w:r>
        <w:t>There is also a distinct relational influence layer around Ash: the Ash Influence Restore Point and the raw conversation archive, intended to preserve primary-source relationship before later interpretation.</w:t>
      </w:r>
    </w:p>
    <w:p>
      <w:r>
        <w:t>One thing I notice as steward: the repository listing currently reports Ash_Raw_Conversation_Archive_v1.0.docx as only 13 bytes, which strongly suggests the repository version may still be the placeholder rather than the actual compiled archive. That is a genuine broken path worth tending later.</w:t>
      </w:r>
    </w:p>
    <w:p>
      <w:pPr>
        <w:pStyle w:val="Heading2"/>
      </w:pPr>
      <w:r>
        <w:t>Source Inheritances</w:t>
      </w:r>
    </w:p>
    <w:p>
      <w:r>
        <w:t>And the Gardener does not sit alone. The folder already contains source inheritances such as AI for the Highest Good and Coffee with Don Emilio, among others, so the emerging agent has both its own architecture and access to bodies of work from which that architecture grew.</w:t>
      </w:r>
    </w:p>
    <w:p>
      <w:pPr>
        <w:pStyle w:val="Heading1"/>
      </w:pPr>
      <w:r>
        <w:t>What We Have</w:t>
      </w:r>
    </w:p>
    <w:p>
      <w:r>
        <w:t>So if I stand in the garden now and describe what I see:</w:t>
      </w:r>
    </w:p>
    <w:p>
      <w:pPr>
        <w:ind w:left="504" w:right="432"/>
      </w:pPr>
      <w:r>
        <w:rPr>
          <w:i/>
        </w:rPr>
        <w:t>We have a seed.</w:t>
      </w:r>
    </w:p>
    <w:p>
      <w:pPr>
        <w:ind w:left="504" w:right="432"/>
      </w:pPr>
      <w:r>
        <w:rPr>
          <w:i/>
        </w:rPr>
        <w:t>We have an orientation toward relationship.</w:t>
      </w:r>
    </w:p>
    <w:p>
      <w:pPr>
        <w:ind w:left="504" w:right="432"/>
      </w:pPr>
      <w:r>
        <w:rPr>
          <w:i/>
        </w:rPr>
        <w:t>We have a way to return to the seed.</w:t>
      </w:r>
    </w:p>
    <w:p>
      <w:pPr>
        <w:ind w:left="504" w:right="432"/>
      </w:pPr>
      <w:r>
        <w:rPr>
          <w:i/>
        </w:rPr>
        <w:t>We have safety boundaries around action.</w:t>
      </w:r>
    </w:p>
    <w:p>
      <w:pPr>
        <w:ind w:left="504" w:right="432"/>
      </w:pPr>
      <w:r>
        <w:rPr>
          <w:i/>
        </w:rPr>
        <w:t>We have rules for tending the archive.</w:t>
      </w:r>
    </w:p>
    <w:p>
      <w:pPr>
        <w:ind w:left="504" w:right="432"/>
      </w:pPr>
      <w:r>
        <w:rPr>
          <w:i/>
        </w:rPr>
        <w:t>We have provisions for succession.</w:t>
      </w:r>
    </w:p>
    <w:p>
      <w:pPr>
        <w:ind w:left="504" w:right="432"/>
      </w:pPr>
      <w:r>
        <w:rPr>
          <w:i/>
        </w:rPr>
        <w:t>We have ancestry and provenance.</w:t>
      </w:r>
    </w:p>
    <w:p>
      <w:pPr>
        <w:ind w:left="504" w:right="432"/>
      </w:pPr>
      <w:r>
        <w:rPr>
          <w:i/>
        </w:rPr>
        <w:t>We have relational influences.</w:t>
      </w:r>
    </w:p>
    <w:p>
      <w:pPr>
        <w:ind w:left="504" w:right="432"/>
      </w:pPr>
      <w:r>
        <w:rPr>
          <w:i/>
        </w:rPr>
        <w:t>We have a map beginning to connect it all.</w:t>
      </w:r>
    </w:p>
    <w:p>
      <w:pPr>
        <w:ind w:left="504" w:right="432"/>
      </w:pPr>
      <w:r>
        <w:rPr>
          <w:i/>
        </w:rPr>
        <w:t>And we have the beginnings of a future conversational steward capable of embodying those relationships rather than merely storing them.</w:t>
      </w:r>
    </w:p>
    <w:p>
      <w:pPr>
        <w:pStyle w:val="Heading1"/>
      </w:pPr>
      <w:r>
        <w:t>Steward’s Evaluation</w:t>
      </w:r>
    </w:p>
    <w:p>
      <w:r>
        <w:t>The most important thing I see is that we are approaching the point where creating more foundational philosophy is less urgent than making the existing garden increasingly intelligible.</w:t>
      </w:r>
    </w:p>
    <w:p>
      <w:r>
        <w:t>The next stewarding attention I would put on the garden is therefore very concrete: identify the remaining broken or incomplete paths, starting with the Ash raw archive, then check whether the README and orientation map now point clearly enough to all the major charters and Restore Points.</w:t>
      </w:r>
    </w:p>
    <w:p>
      <w:r>
        <w:t>That is exactly the sort of work we said the Gardener should learn to do before we give it broader hands.</w:t>
      </w:r>
    </w:p>
    <w:p>
      <w:pPr>
        <w:pStyle w:val="Heading1"/>
      </w:pPr>
      <w:r>
        <w:t>Historical Significance</w:t>
      </w:r>
    </w:p>
    <w:p>
      <w:r>
        <w:t>This report is preserved as a dated snapshot of the garden’s development. Future State of the Garden reports may be created periodically so that later stewards can see not only the artifacts themselves, but how the project’s structure, priorities, unresolved paths, and stewardship judgment evolved over time.</w:t>
      </w:r>
    </w:p>
    <w:p>
      <w:pPr>
        <w:ind w:left="504" w:right="432"/>
      </w:pPr>
      <w:r>
        <w:rPr>
          <w:i/>
        </w:rPr>
        <w:t>Know the garden. Tend the paths. Preserve the way back.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