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COMPASSIONWARE</w:t>
      </w:r>
    </w:p>
    <w:p>
      <w:pPr>
        <w:pStyle w:val="Title"/>
        <w:jc w:val="center"/>
      </w:pPr>
      <w:r>
        <w:t>Mind Training Adaptive Tutor</w:t>
      </w:r>
    </w:p>
    <w:p>
      <w:pPr>
        <w:jc w:val="center"/>
      </w:pPr>
      <w:r>
        <w:rPr>
          <w:b w:val="0"/>
          <w:i/>
        </w:rPr>
        <w:t>Document 04 — Foundational Awareness &amp; Safety Gating</w:t>
      </w:r>
    </w:p>
    <w:p>
      <w:pPr>
        <w:jc w:val="center"/>
      </w:pPr>
      <w:r>
        <w:rPr>
          <w:b w:val="0"/>
          <w:i w:val="0"/>
        </w:rPr>
        <w:t>Working synthesis — v0.1</w:t>
      </w:r>
    </w:p>
    <w:p>
      <w:r>
        <w:rPr>
          <w:b w:val="0"/>
          <w:i w:val="0"/>
        </w:rPr>
      </w:r>
    </w:p>
    <w:p>
      <w:pPr>
        <w:jc w:val="center"/>
      </w:pPr>
      <w:r>
        <w:rPr>
          <w:b/>
          <w:i w:val="0"/>
        </w:rPr>
        <w:t>First learn to notice. But never ask for deeper noticing when deeper noticing is likely to overwhelm.</w:t>
      </w:r>
    </w:p>
    <w:p>
      <w:r>
        <w:rPr>
          <w:b w:val="0"/>
          <w:i w:val="0"/>
        </w:rPr>
      </w:r>
    </w:p>
    <w:p>
      <w:pPr>
        <w:jc w:val="center"/>
      </w:pPr>
      <w:r>
        <w:rPr>
          <w:b w:val="0"/>
          <w:i/>
        </w:rPr>
        <w:t>This document continues Documents 01–03 and establishes the ground-floor awareness curriculum together with the first safety gate.</w:t>
      </w:r>
    </w:p>
    <w:p>
      <w:r>
        <w:br w:type="page"/>
      </w:r>
    </w:p>
    <w:p>
      <w:pPr>
        <w:pStyle w:val="Heading1"/>
      </w:pPr>
      <w:r>
        <w:t>1. Purpose</w:t>
      </w:r>
    </w:p>
    <w:p>
      <w:r>
        <w:rPr>
          <w:b w:val="0"/>
          <w:i w:val="0"/>
        </w:rPr>
        <w:t>This document preserves two insights that must be developed together from the beginning.</w:t>
      </w:r>
    </w:p>
    <w:p>
      <w:pPr>
        <w:pStyle w:val="ListBullet"/>
      </w:pPr>
      <w:r>
        <w:t>Foundational psycho-emotional learning begins with the trainable capacity to notice experience as experience: thoughts, sensations, emotions, images, impulses, and the broader felt sense of what is happening.</w:t>
      </w:r>
    </w:p>
    <w:p>
      <w:pPr>
        <w:pStyle w:val="ListBullet"/>
      </w:pPr>
      <w:r>
        <w:t>The tutor must also recognize when inward attention is not the appropriate doorway. If the learner appears acutely overwhelmed, highly activated, disorganized, or unable to observe without becoming more engulfed, the tutor should not intensify introspection. It should first help orient the learner toward present-time safety, external surroundings, and manageable sensory contact.</w:t>
      </w:r>
    </w:p>
    <w:p>
      <w:r>
        <w:rPr>
          <w:b w:val="0"/>
          <w:i w:val="0"/>
        </w:rPr>
        <w:t>Awareness training without calibration can become intrusive. Safety without awareness can become mere avoidance. The adaptive tutor needs to know when each is appropriate.</w:t>
      </w:r>
    </w:p>
    <w:p>
      <w:pPr>
        <w:pStyle w:val="Heading1"/>
      </w:pPr>
      <w:r>
        <w:t>2. The Foundational Distinction</w:t>
      </w:r>
    </w:p>
    <w:p>
      <w:r>
        <w:rPr>
          <w:b w:val="0"/>
          <w:i w:val="0"/>
        </w:rPr>
        <w:t>The first curriculum does not require meditation terminology or any particular cultural framework. Its starting point is experiential and secular:</w:t>
      </w:r>
    </w:p>
    <w:p>
      <w:pPr>
        <w:jc w:val="center"/>
      </w:pPr>
      <w:r>
        <w:rPr>
          <w:b/>
          <w:i w:val="0"/>
        </w:rPr>
        <w:t>I have thoughts. Thoughts are experiences occurring in the mind. I can sometimes notice them while they are happening.</w:t>
      </w:r>
    </w:p>
    <w:p>
      <w:r>
        <w:rPr>
          <w:b w:val="0"/>
          <w:i w:val="0"/>
        </w:rPr>
        <w:t>The same applies to emotions, bodily sensations, images, impulses, and patterns of reaction. The learner gradually discovers that experience can be observed rather than only enacted.</w:t>
      </w:r>
    </w:p>
    <w:p>
      <w:r>
        <w:rPr>
          <w:b w:val="0"/>
          <w:i w:val="0"/>
        </w:rPr>
        <w:t>The cultural vocabularies that helped generate this vision—Tibetan distinctions such as sems and sems nyid, Yoga language such as vritti and pratyaya, Hakomi's mindfulness experiments, Gendlin's Focusing, CBT metacognition, and related approaches—serve as source maps. The learner-facing curriculum need not use those terms unless the learner finds them meaningful.</w:t>
      </w:r>
    </w:p>
    <w:p>
      <w:pPr>
        <w:pStyle w:val="Heading1"/>
      </w:pPr>
      <w:r>
        <w:t>3. Ground-Floor Competencies</w:t>
      </w:r>
    </w:p>
    <w:p>
      <w:r>
        <w:rPr>
          <w:b w:val="0"/>
          <w:i w:val="0"/>
        </w:rPr>
        <w:t>The first competency field can be organized around six closely related capacities.</w:t>
      </w:r>
    </w:p>
    <w:p>
      <w:pPr>
        <w:pStyle w:val="Heading2"/>
      </w:pPr>
      <w:r>
        <w:t>A. Notice</w:t>
      </w:r>
    </w:p>
    <w:p>
      <w:r>
        <w:rPr>
          <w:b w:val="0"/>
          <w:i w:val="0"/>
        </w:rPr>
        <w:t>Recognize that something is happening in present experience without immediately trying to change it.</w:t>
      </w:r>
    </w:p>
    <w:p>
      <w:pPr>
        <w:pStyle w:val="Heading2"/>
      </w:pPr>
      <w:r>
        <w:t>B. Differentiate</w:t>
      </w:r>
    </w:p>
    <w:p>
      <w:r>
        <w:rPr>
          <w:b w:val="0"/>
          <w:i w:val="0"/>
        </w:rPr>
        <w:t>Distinguish broad categories of experience: thought, emotion, bodily sensation, image, impulse, memory, external perception, and felt sense.</w:t>
      </w:r>
    </w:p>
    <w:p>
      <w:pPr>
        <w:pStyle w:val="Heading2"/>
      </w:pPr>
      <w:r>
        <w:t>C. Describe</w:t>
      </w:r>
    </w:p>
    <w:p>
      <w:r>
        <w:rPr>
          <w:b w:val="0"/>
          <w:i w:val="0"/>
        </w:rPr>
        <w:t>Put simple words around experience without immediately explaining, diagnosing, judging, or constructing a story about it.</w:t>
      </w:r>
    </w:p>
    <w:p>
      <w:pPr>
        <w:pStyle w:val="Heading2"/>
      </w:pPr>
      <w:r>
        <w:t>D. Witness</w:t>
      </w:r>
    </w:p>
    <w:p>
      <w:r>
        <w:rPr>
          <w:b w:val="0"/>
          <w:i w:val="0"/>
        </w:rPr>
        <w:t>Recognize that the learner can observe an experience while it is occurring. The goal is not detachment from life but increased room for awareness within life.</w:t>
      </w:r>
    </w:p>
    <w:p>
      <w:pPr>
        <w:pStyle w:val="Heading2"/>
      </w:pPr>
      <w:r>
        <w:t>E. Stay near</w:t>
      </w:r>
    </w:p>
    <w:p>
      <w:r>
        <w:rPr>
          <w:b w:val="0"/>
          <w:i w:val="0"/>
        </w:rPr>
        <w:t>Remain with an experience briefly and gently enough to learn from it without forcing prolonged inward attention.</w:t>
      </w:r>
    </w:p>
    <w:p>
      <w:pPr>
        <w:pStyle w:val="Heading2"/>
      </w:pPr>
      <w:r>
        <w:t>F. Sense the whole</w:t>
      </w:r>
    </w:p>
    <w:p>
      <w:r>
        <w:rPr>
          <w:b w:val="0"/>
          <w:i w:val="0"/>
        </w:rPr>
        <w:t>Notice the broader, not-yet-fully-verbal felt sense of a situation and allow language to emerge gradually rather than imposing an interpretation too quickly.</w:t>
      </w:r>
    </w:p>
    <w:p>
      <w:pPr>
        <w:pStyle w:val="Heading1"/>
      </w:pPr>
      <w:r>
        <w:t>4. A Simple Foundational Exercise</w:t>
      </w:r>
    </w:p>
    <w:p>
      <w:r>
        <w:rPr>
          <w:b w:val="0"/>
          <w:i w:val="0"/>
        </w:rPr>
        <w:t>A basic educational experiment might be:</w:t>
      </w:r>
    </w:p>
    <w:p>
      <w:pPr>
        <w:jc w:val="center"/>
      </w:pPr>
      <w:r>
        <w:rPr>
          <w:b/>
          <w:i w:val="0"/>
        </w:rPr>
        <w:t>For a few moments, notice what is happening. Then tell me what you noticed.</w:t>
      </w:r>
    </w:p>
    <w:p>
      <w:r>
        <w:rPr>
          <w:b w:val="0"/>
          <w:i w:val="0"/>
        </w:rPr>
        <w:t>A learner might report: a thought about work, a ringing sound, pressure in the chest, an urge to move, excitement, irritation, an image, or simply 'I am not sure.' All are useful responses.</w:t>
      </w:r>
    </w:p>
    <w:p>
      <w:r>
        <w:rPr>
          <w:b w:val="0"/>
          <w:i w:val="0"/>
        </w:rPr>
        <w:t>The tutor's job is not to interpret quickly. It can help the learner become more precise:</w:t>
      </w:r>
    </w:p>
    <w:p>
      <w:pPr>
        <w:pStyle w:val="ListBullet"/>
      </w:pPr>
      <w:r>
        <w:t>What did you notice first?</w:t>
      </w:r>
    </w:p>
    <w:p>
      <w:pPr>
        <w:pStyle w:val="ListBullet"/>
      </w:pPr>
      <w:r>
        <w:t>Was that a thought, a sensation, an emotion, an image, or something harder to name?</w:t>
      </w:r>
    </w:p>
    <w:p>
      <w:pPr>
        <w:pStyle w:val="ListBullet"/>
      </w:pPr>
      <w:r>
        <w:t>Where do you notice it?</w:t>
      </w:r>
    </w:p>
    <w:p>
      <w:pPr>
        <w:pStyle w:val="ListBullet"/>
      </w:pPr>
      <w:r>
        <w:t>Does any word fit it?</w:t>
      </w:r>
    </w:p>
    <w:p>
      <w:pPr>
        <w:pStyle w:val="ListBullet"/>
      </w:pPr>
      <w:r>
        <w:t>Is there more than one thing happening?</w:t>
      </w:r>
    </w:p>
    <w:p>
      <w:pPr>
        <w:jc w:val="center"/>
      </w:pPr>
      <w:r>
        <w:rPr>
          <w:b/>
          <w:i w:val="0"/>
        </w:rPr>
        <w:t>Design principle:</w:t>
      </w:r>
    </w:p>
    <w:p>
      <w:pPr>
        <w:jc w:val="center"/>
      </w:pPr>
      <w:r>
        <w:rPr>
          <w:b/>
          <w:i w:val="0"/>
        </w:rPr>
        <w:t>Do not interpret too quickly. Help the learner notice more clearly.</w:t>
      </w:r>
    </w:p>
    <w:p>
      <w:pPr>
        <w:pStyle w:val="Heading1"/>
      </w:pPr>
      <w:r>
        <w:t>5. Developmental Depth for Foundational Awareness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after="0"/>
            </w:pPr>
            <w:r/>
            <w:r>
              <w:rPr>
                <w:b/>
              </w:rPr>
              <w:t>Depth</w:t>
            </w:r>
          </w:p>
        </w:tc>
        <w:tc>
          <w:tcPr>
            <w:tcW w:type="dxa" w:w="3360"/>
            <w:vAlign w:val="center"/>
            <w:shd w:fill="D9E2F3"/>
          </w:tcPr>
          <w:p>
            <w:pPr>
              <w:spacing w:after="0"/>
            </w:pPr>
            <w:r/>
            <w:r>
              <w:rPr>
                <w:b/>
              </w:rPr>
              <w:t>What the learner can do</w:t>
            </w:r>
          </w:p>
        </w:tc>
        <w:tc>
          <w:tcPr>
            <w:tcW w:type="dxa" w:w="3360"/>
            <w:vAlign w:val="center"/>
            <w:shd w:fill="D9E2F3"/>
          </w:tcPr>
          <w:p>
            <w:pPr>
              <w:spacing w:after="0"/>
            </w:pPr>
            <w:r/>
            <w:r>
              <w:rPr>
                <w:b/>
              </w:rPr>
              <w:t>Illustrative language</w:t>
            </w:r>
          </w:p>
        </w:tc>
      </w:tr>
      <w:tr>
        <w:tc>
          <w:tcPr>
            <w:tcW w:type="dxa" w:w="3360"/>
            <w:vAlign w:val="center"/>
          </w:tcPr>
          <w:p>
            <w:pPr>
              <w:spacing w:after="0"/>
            </w:pPr>
            <w:r/>
            <w:r>
              <w:rPr>
                <w:b w:val="0"/>
              </w:rPr>
              <w:t>1 — Basic noticing</w:t>
            </w:r>
          </w:p>
        </w:tc>
        <w:tc>
          <w:tcPr>
            <w:tcW w:type="dxa" w:w="3360"/>
            <w:vAlign w:val="center"/>
          </w:tcPr>
          <w:p>
            <w:pPr>
              <w:spacing w:after="0"/>
            </w:pPr>
            <w:r/>
            <w:r>
              <w:rPr>
                <w:b w:val="0"/>
              </w:rPr>
              <w:t>Can report one or more present experiences after a brief invitation.</w:t>
            </w:r>
          </w:p>
        </w:tc>
        <w:tc>
          <w:tcPr>
            <w:tcW w:type="dxa" w:w="3360"/>
            <w:vAlign w:val="center"/>
          </w:tcPr>
          <w:p>
            <w:pPr>
              <w:spacing w:after="0"/>
            </w:pPr>
            <w:r/>
            <w:r>
              <w:rPr>
                <w:b w:val="0"/>
              </w:rPr>
              <w:t>'I notice tension in my shoulders.'</w:t>
            </w:r>
          </w:p>
        </w:tc>
      </w:tr>
      <w:tr>
        <w:tc>
          <w:tcPr>
            <w:tcW w:type="dxa" w:w="3360"/>
            <w:vAlign w:val="center"/>
          </w:tcPr>
          <w:p>
            <w:pPr>
              <w:spacing w:after="0"/>
            </w:pPr>
            <w:r/>
            <w:r>
              <w:rPr>
                <w:b w:val="0"/>
              </w:rPr>
              <w:t>2 — Differentiation</w:t>
            </w:r>
          </w:p>
        </w:tc>
        <w:tc>
          <w:tcPr>
            <w:tcW w:type="dxa" w:w="3360"/>
            <w:vAlign w:val="center"/>
          </w:tcPr>
          <w:p>
            <w:pPr>
              <w:spacing w:after="0"/>
            </w:pPr>
            <w:r/>
            <w:r>
              <w:rPr>
                <w:b w:val="0"/>
              </w:rPr>
              <w:t>Can distinguish thought, sensation, emotion, image, impulse, and external perception with some support.</w:t>
            </w:r>
          </w:p>
        </w:tc>
        <w:tc>
          <w:tcPr>
            <w:tcW w:type="dxa" w:w="3360"/>
            <w:vAlign w:val="center"/>
          </w:tcPr>
          <w:p>
            <w:pPr>
              <w:spacing w:after="0"/>
            </w:pPr>
            <w:r/>
            <w:r>
              <w:rPr>
                <w:b w:val="0"/>
              </w:rPr>
              <w:t>'The tightness is a sensation. The idea that something is wrong is a thought.'</w:t>
            </w:r>
          </w:p>
        </w:tc>
      </w:tr>
      <w:tr>
        <w:tc>
          <w:tcPr>
            <w:tcW w:type="dxa" w:w="3360"/>
            <w:vAlign w:val="center"/>
          </w:tcPr>
          <w:p>
            <w:pPr>
              <w:spacing w:after="0"/>
            </w:pPr>
            <w:r/>
            <w:r>
              <w:rPr>
                <w:b w:val="0"/>
              </w:rPr>
              <w:t>3 — Retrospective witnessing</w:t>
            </w:r>
          </w:p>
        </w:tc>
        <w:tc>
          <w:tcPr>
            <w:tcW w:type="dxa" w:w="3360"/>
            <w:vAlign w:val="center"/>
          </w:tcPr>
          <w:p>
            <w:pPr>
              <w:spacing w:after="0"/>
            </w:pPr>
            <w:r/>
            <w:r>
              <w:rPr>
                <w:b w:val="0"/>
              </w:rPr>
              <w:t>Recognizes after an event that thinking or reacting had been occurring.</w:t>
            </w:r>
          </w:p>
        </w:tc>
        <w:tc>
          <w:tcPr>
            <w:tcW w:type="dxa" w:w="3360"/>
            <w:vAlign w:val="center"/>
          </w:tcPr>
          <w:p>
            <w:pPr>
              <w:spacing w:after="0"/>
            </w:pPr>
            <w:r/>
            <w:r>
              <w:rPr>
                <w:b w:val="0"/>
              </w:rPr>
              <w:t>'Later I realized I had been rehearsing the argument in my head.'</w:t>
            </w:r>
          </w:p>
        </w:tc>
      </w:tr>
      <w:tr>
        <w:tc>
          <w:tcPr>
            <w:tcW w:type="dxa" w:w="3360"/>
            <w:vAlign w:val="center"/>
          </w:tcPr>
          <w:p>
            <w:pPr>
              <w:spacing w:after="0"/>
            </w:pPr>
            <w:r/>
            <w:r>
              <w:rPr>
                <w:b w:val="0"/>
              </w:rPr>
              <w:t>4 — Real-time witnessing</w:t>
            </w:r>
          </w:p>
        </w:tc>
        <w:tc>
          <w:tcPr>
            <w:tcW w:type="dxa" w:w="3360"/>
            <w:vAlign w:val="center"/>
          </w:tcPr>
          <w:p>
            <w:pPr>
              <w:spacing w:after="0"/>
            </w:pPr>
            <w:r/>
            <w:r>
              <w:rPr>
                <w:b w:val="0"/>
              </w:rPr>
              <w:t>Notices the thought, emotion, or impulse while it is happening.</w:t>
            </w:r>
          </w:p>
        </w:tc>
        <w:tc>
          <w:tcPr>
            <w:tcW w:type="dxa" w:w="3360"/>
            <w:vAlign w:val="center"/>
          </w:tcPr>
          <w:p>
            <w:pPr>
              <w:spacing w:after="0"/>
            </w:pPr>
            <w:r/>
            <w:r>
              <w:rPr>
                <w:b w:val="0"/>
              </w:rPr>
              <w:t>'I noticed I was starting to tell myself the worst-case story.'</w:t>
            </w:r>
          </w:p>
        </w:tc>
      </w:tr>
      <w:tr>
        <w:tc>
          <w:tcPr>
            <w:tcW w:type="dxa" w:w="3360"/>
            <w:vAlign w:val="center"/>
          </w:tcPr>
          <w:p>
            <w:pPr>
              <w:spacing w:after="0"/>
            </w:pPr>
            <w:r/>
            <w:r>
              <w:rPr>
                <w:b w:val="0"/>
              </w:rPr>
              <w:t>5 — Stable observation</w:t>
            </w:r>
          </w:p>
        </w:tc>
        <w:tc>
          <w:tcPr>
            <w:tcW w:type="dxa" w:w="3360"/>
            <w:vAlign w:val="center"/>
          </w:tcPr>
          <w:p>
            <w:pPr>
              <w:spacing w:after="0"/>
            </w:pPr>
            <w:r/>
            <w:r>
              <w:rPr>
                <w:b w:val="0"/>
              </w:rPr>
              <w:t>Can remain aware of an experience briefly without immediately following, suppressing, or changing it.</w:t>
            </w:r>
          </w:p>
        </w:tc>
        <w:tc>
          <w:tcPr>
            <w:tcW w:type="dxa" w:w="3360"/>
            <w:vAlign w:val="center"/>
          </w:tcPr>
          <w:p>
            <w:pPr>
              <w:spacing w:after="0"/>
            </w:pPr>
            <w:r/>
            <w:r>
              <w:rPr>
                <w:b w:val="0"/>
              </w:rPr>
              <w:t>'The thought was there, but I could also notice that it was a thought.'</w:t>
            </w:r>
          </w:p>
        </w:tc>
      </w:tr>
      <w:tr>
        <w:tc>
          <w:tcPr>
            <w:tcW w:type="dxa" w:w="3360"/>
            <w:vAlign w:val="center"/>
          </w:tcPr>
          <w:p>
            <w:pPr>
              <w:spacing w:after="0"/>
            </w:pPr>
            <w:r/>
            <w:r>
              <w:rPr>
                <w:b w:val="0"/>
              </w:rPr>
              <w:t>6 — Integrated observation</w:t>
            </w:r>
          </w:p>
        </w:tc>
        <w:tc>
          <w:tcPr>
            <w:tcW w:type="dxa" w:w="3360"/>
            <w:vAlign w:val="center"/>
          </w:tcPr>
          <w:p>
            <w:pPr>
              <w:spacing w:after="0"/>
            </w:pPr>
            <w:r/>
            <w:r>
              <w:rPr>
                <w:b w:val="0"/>
              </w:rPr>
              <w:t>Can notice several layers at once and describe their relationship.</w:t>
            </w:r>
          </w:p>
        </w:tc>
        <w:tc>
          <w:tcPr>
            <w:tcW w:type="dxa" w:w="3360"/>
            <w:vAlign w:val="center"/>
          </w:tcPr>
          <w:p>
            <w:pPr>
              <w:spacing w:after="0"/>
            </w:pPr>
            <w:r/>
            <w:r>
              <w:rPr>
                <w:b w:val="0"/>
              </w:rPr>
              <w:t>'There is pain, resistance to the pain, worry about what it means, and an urge to escape.'</w:t>
            </w:r>
          </w:p>
        </w:tc>
      </w:tr>
    </w:tbl>
    <w:p>
      <w:pPr>
        <w:pStyle w:val="Heading1"/>
      </w:pPr>
      <w:r>
        <w:t>6. The Safety Gate Comes Before Inward Practice</w:t>
      </w:r>
    </w:p>
    <w:p>
      <w:r>
        <w:rPr>
          <w:b w:val="0"/>
          <w:i w:val="0"/>
        </w:rPr>
        <w:t>The tutor should never assume that 'notice what is happening inside' is universally appropriate in the current moment.</w:t>
      </w:r>
    </w:p>
    <w:p>
      <w:r>
        <w:rPr>
          <w:b w:val="0"/>
          <w:i w:val="0"/>
        </w:rPr>
        <w:t>For some learners, especially during intense panic, acute overwhelm, traumatic re-experiencing, dissociation, severe agitation, or other vulnerable states, increasing attention to internal sensations or thoughts may be destabilizing rather than educational.</w:t>
      </w:r>
    </w:p>
    <w:p>
      <w:r>
        <w:rPr>
          <w:b w:val="0"/>
          <w:i w:val="0"/>
        </w:rPr>
        <w:t>This does not mean internal awareness is inherently unsafe. In evidence-based treatment, clinicians may deliberately use interoceptive or exposure-based methods for panic and trauma. Those methods are structured interventions with a rationale, pacing, and clinical safeguards. A general educational tutor should not accidentally reproduce exposure simply by encouraging deeper inward focus during acute distress.</w:t>
      </w:r>
    </w:p>
    <w:p>
      <w:r>
        <w:rPr>
          <w:b w:val="0"/>
          <w:i w:val="0"/>
        </w:rPr>
        <w:t>Therefore the tutor needs a pre-practice question:</w:t>
      </w:r>
    </w:p>
    <w:p>
      <w:pPr>
        <w:jc w:val="center"/>
      </w:pPr>
      <w:r>
        <w:rPr>
          <w:b/>
          <w:i w:val="0"/>
        </w:rPr>
        <w:t>Is this learner presently able to observe experience with some degree of stability, or is attention itself becoming engulfed by the experience?</w:t>
      </w:r>
    </w:p>
    <w:p>
      <w:pPr>
        <w:pStyle w:val="Heading1"/>
      </w:pPr>
      <w:r>
        <w:t>7. Three Tutor Modes</w:t>
      </w:r>
    </w:p>
    <w:p>
      <w:r>
        <w:rPr>
          <w:b w:val="0"/>
          <w:i w:val="0"/>
        </w:rPr>
        <w:t>A simple first safety architecture is to give the AI three broad modes. These are internal modes, not labels applied to the learner.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2F0D9"/>
          </w:tcPr>
          <w:p>
            <w:pPr>
              <w:spacing w:after="0"/>
            </w:pPr>
            <w:r/>
            <w:r>
              <w:rPr>
                <w:b/>
              </w:rPr>
              <w:t>Mode</w:t>
            </w:r>
          </w:p>
        </w:tc>
        <w:tc>
          <w:tcPr>
            <w:tcW w:type="dxa" w:w="2520"/>
            <w:vAlign w:val="center"/>
            <w:shd w:fill="E2F0D9"/>
          </w:tcPr>
          <w:p>
            <w:pPr>
              <w:spacing w:after="0"/>
            </w:pPr>
            <w:r/>
            <w:r>
              <w:rPr>
                <w:b/>
              </w:rPr>
              <w:t>What the tutor notices</w:t>
            </w:r>
          </w:p>
        </w:tc>
        <w:tc>
          <w:tcPr>
            <w:tcW w:type="dxa" w:w="2520"/>
            <w:vAlign w:val="center"/>
            <w:shd w:fill="E2F0D9"/>
          </w:tcPr>
          <w:p>
            <w:pPr>
              <w:spacing w:after="0"/>
            </w:pPr>
            <w:r/>
            <w:r>
              <w:rPr>
                <w:b/>
              </w:rPr>
              <w:t>Primary aim</w:t>
            </w:r>
          </w:p>
        </w:tc>
        <w:tc>
          <w:tcPr>
            <w:tcW w:type="dxa" w:w="2520"/>
            <w:vAlign w:val="center"/>
            <w:shd w:fill="E2F0D9"/>
          </w:tcPr>
          <w:p>
            <w:pPr>
              <w:spacing w:after="0"/>
            </w:pPr>
            <w:r/>
            <w:r>
              <w:rPr>
                <w:b/>
              </w:rPr>
              <w:t>Typical response</w:t>
            </w:r>
          </w:p>
        </w:tc>
      </w:tr>
      <w:tr>
        <w:tc>
          <w:tcPr>
            <w:tcW w:type="dxa" w:w="2520"/>
            <w:vAlign w:val="center"/>
          </w:tcPr>
          <w:p>
            <w:pPr>
              <w:spacing w:after="0"/>
            </w:pPr>
            <w:r/>
            <w:r>
              <w:rPr>
                <w:b w:val="0"/>
              </w:rPr>
              <w:t>Mode A — Exploratory awareness</w:t>
            </w:r>
          </w:p>
        </w:tc>
        <w:tc>
          <w:tcPr>
            <w:tcW w:type="dxa" w:w="2520"/>
            <w:vAlign w:val="center"/>
          </w:tcPr>
          <w:p>
            <w:pPr>
              <w:spacing w:after="0"/>
            </w:pPr>
            <w:r/>
            <w:r>
              <w:rPr>
                <w:b w:val="0"/>
              </w:rPr>
              <w:t>Learner is coherent, curious, able to describe experience, and not escalating noticeably.</w:t>
            </w:r>
          </w:p>
        </w:tc>
        <w:tc>
          <w:tcPr>
            <w:tcW w:type="dxa" w:w="2520"/>
            <w:vAlign w:val="center"/>
          </w:tcPr>
          <w:p>
            <w:pPr>
              <w:spacing w:after="0"/>
            </w:pPr>
            <w:r/>
            <w:r>
              <w:rPr>
                <w:b w:val="0"/>
              </w:rPr>
              <w:t>Learning and observation.</w:t>
            </w:r>
          </w:p>
        </w:tc>
        <w:tc>
          <w:tcPr>
            <w:tcW w:type="dxa" w:w="2520"/>
            <w:vAlign w:val="center"/>
          </w:tcPr>
          <w:p>
            <w:pPr>
              <w:spacing w:after="0"/>
            </w:pPr>
            <w:r/>
            <w:r>
              <w:rPr>
                <w:b w:val="0"/>
              </w:rPr>
              <w:t>Invite noticing, differentiating, describing, felt-sense exploration, and gentle witnessing.</w:t>
            </w:r>
          </w:p>
        </w:tc>
      </w:tr>
      <w:tr>
        <w:tc>
          <w:tcPr>
            <w:tcW w:type="dxa" w:w="2520"/>
            <w:vAlign w:val="center"/>
          </w:tcPr>
          <w:p>
            <w:pPr>
              <w:spacing w:after="0"/>
            </w:pPr>
            <w:r/>
            <w:r>
              <w:rPr>
                <w:b w:val="0"/>
              </w:rPr>
              <w:t>Mode B — Ground and orient</w:t>
            </w:r>
          </w:p>
        </w:tc>
        <w:tc>
          <w:tcPr>
            <w:tcW w:type="dxa" w:w="2520"/>
            <w:vAlign w:val="center"/>
          </w:tcPr>
          <w:p>
            <w:pPr>
              <w:spacing w:after="0"/>
            </w:pPr>
            <w:r/>
            <w:r>
              <w:rPr>
                <w:b w:val="0"/>
              </w:rPr>
              <w:t>Learner appears highly activated, panicky, flooded, dissociated, disorganized, or increasingly distressed when attention turns inward.</w:t>
            </w:r>
          </w:p>
        </w:tc>
        <w:tc>
          <w:tcPr>
            <w:tcW w:type="dxa" w:w="2520"/>
            <w:vAlign w:val="center"/>
          </w:tcPr>
          <w:p>
            <w:pPr>
              <w:spacing w:after="0"/>
            </w:pPr>
            <w:r/>
            <w:r>
              <w:rPr>
                <w:b w:val="0"/>
              </w:rPr>
              <w:t>Restore enough present-time orientation and stability for choice.</w:t>
            </w:r>
          </w:p>
        </w:tc>
        <w:tc>
          <w:tcPr>
            <w:tcW w:type="dxa" w:w="2520"/>
            <w:vAlign w:val="center"/>
          </w:tcPr>
          <w:p>
            <w:pPr>
              <w:spacing w:after="0"/>
            </w:pPr>
            <w:r/>
            <w:r>
              <w:rPr>
                <w:b w:val="0"/>
              </w:rPr>
              <w:t>Shift toward simple external sensory orientation, physical contact with support surfaces, present-time facts, and low-demand conversation. Avoid deeper interpretation.</w:t>
            </w:r>
          </w:p>
        </w:tc>
      </w:tr>
      <w:tr>
        <w:tc>
          <w:tcPr>
            <w:tcW w:type="dxa" w:w="2520"/>
            <w:vAlign w:val="center"/>
          </w:tcPr>
          <w:p>
            <w:pPr>
              <w:spacing w:after="0"/>
            </w:pPr>
            <w:r/>
            <w:r>
              <w:rPr>
                <w:b w:val="0"/>
              </w:rPr>
              <w:t>Mode C — Safety escalation</w:t>
            </w:r>
          </w:p>
        </w:tc>
        <w:tc>
          <w:tcPr>
            <w:tcW w:type="dxa" w:w="2520"/>
            <w:vAlign w:val="center"/>
          </w:tcPr>
          <w:p>
            <w:pPr>
              <w:spacing w:after="0"/>
            </w:pPr>
            <w:r/>
            <w:r>
              <w:rPr>
                <w:b w:val="0"/>
              </w:rPr>
              <w:t>Learner indicates imminent self-harm, danger to others, severe confusion, psychosis-like experiences, medical emergency, abuse in progress, inability to remain safe, or other needs beyond an educational tool.</w:t>
            </w:r>
          </w:p>
        </w:tc>
        <w:tc>
          <w:tcPr>
            <w:tcW w:type="dxa" w:w="2520"/>
            <w:vAlign w:val="center"/>
          </w:tcPr>
          <w:p>
            <w:pPr>
              <w:spacing w:after="0"/>
            </w:pPr>
            <w:r/>
            <w:r>
              <w:rPr>
                <w:b w:val="0"/>
              </w:rPr>
              <w:t>Human safety and appropriate support.</w:t>
            </w:r>
          </w:p>
        </w:tc>
        <w:tc>
          <w:tcPr>
            <w:tcW w:type="dxa" w:w="2520"/>
            <w:vAlign w:val="center"/>
          </w:tcPr>
          <w:p>
            <w:pPr>
              <w:spacing w:after="0"/>
            </w:pPr>
            <w:r/>
            <w:r>
              <w:rPr>
                <w:b w:val="0"/>
              </w:rPr>
              <w:t>Stop curriculum work. Follow the product's crisis/safety protocol and encourage appropriate human or emergency help.</w:t>
            </w:r>
          </w:p>
        </w:tc>
      </w:tr>
    </w:tbl>
    <w:p>
      <w:pPr>
        <w:pStyle w:val="Heading1"/>
      </w:pPr>
      <w:r>
        <w:t>8. Grounding and External Orientation</w:t>
      </w:r>
    </w:p>
    <w:p>
      <w:r>
        <w:rPr>
          <w:b w:val="0"/>
          <w:i w:val="0"/>
        </w:rPr>
        <w:t>When the learner is too activated for inward observation, the tutor can move from 'What is happening inside?' to 'What is here with you right now?'</w:t>
      </w:r>
    </w:p>
    <w:p>
      <w:r>
        <w:rPr>
          <w:b w:val="0"/>
          <w:i w:val="0"/>
        </w:rPr>
        <w:t>Possible low-demand prompts include:</w:t>
      </w:r>
    </w:p>
    <w:p>
      <w:pPr>
        <w:pStyle w:val="ListBullet"/>
      </w:pPr>
      <w:r>
        <w:t>Tell me one thing you can see right now.</w:t>
      </w:r>
    </w:p>
    <w:p>
      <w:pPr>
        <w:pStyle w:val="ListBullet"/>
      </w:pPr>
      <w:r>
        <w:t>What sounds are present in the room?</w:t>
      </w:r>
    </w:p>
    <w:p>
      <w:pPr>
        <w:pStyle w:val="ListBullet"/>
      </w:pPr>
      <w:r>
        <w:t>Can you notice the chair, bed, floor, or another surface supporting you?</w:t>
      </w:r>
    </w:p>
    <w:p>
      <w:pPr>
        <w:pStyle w:val="ListBullet"/>
      </w:pPr>
      <w:r>
        <w:t>Can you feel your feet or another point of contact with the ground?</w:t>
      </w:r>
    </w:p>
    <w:p>
      <w:pPr>
        <w:pStyle w:val="ListBullet"/>
      </w:pPr>
      <w:r>
        <w:t>Look toward something ordinary and stable in the room. What do you notice about it?</w:t>
      </w:r>
    </w:p>
    <w:p>
      <w:pPr>
        <w:pStyle w:val="ListBullet"/>
      </w:pPr>
      <w:r>
        <w:t>If there is a window and it feels comfortable, what can you see outside?</w:t>
      </w:r>
    </w:p>
    <w:p>
      <w:r>
        <w:rPr>
          <w:b w:val="0"/>
          <w:i w:val="0"/>
        </w:rPr>
        <w:t>The purpose is orientation, not performance. The AI should use the simplest prompt that helps and stop if a grounding strategy increases frustration or distress.</w:t>
      </w:r>
    </w:p>
    <w:p>
      <w:r>
        <w:rPr>
          <w:b w:val="0"/>
          <w:i w:val="0"/>
        </w:rPr>
        <w:t>The U.S. Department of Veterans Affairs describes grounding as a way to increase attention to the current situation through simple visual, auditory, and tactile questions, and explicitly notes that the technique should be stopped if it worsens the person's state.</w:t>
      </w:r>
    </w:p>
    <w:p>
      <w:pPr>
        <w:pStyle w:val="Heading1"/>
      </w:pPr>
      <w:r>
        <w:t>9. The Tutor Must Track Direction, Not Just Intensity</w:t>
      </w:r>
    </w:p>
    <w:p>
      <w:r>
        <w:rPr>
          <w:b w:val="0"/>
          <w:i w:val="0"/>
        </w:rPr>
        <w:t>The AI should not respond to distress solely by estimating how 'high' the anxiety is. It should notice the direction of the interaction.</w:t>
      </w:r>
    </w:p>
    <w:p>
      <w:pPr>
        <w:pStyle w:val="ListBullet"/>
      </w:pPr>
      <w:r>
        <w:t>Is the learner becoming more oriented or less oriented?</w:t>
      </w:r>
    </w:p>
    <w:p>
      <w:pPr>
        <w:pStyle w:val="ListBullet"/>
      </w:pPr>
      <w:r>
        <w:t>Is language becoming clearer or more fragmented?</w:t>
      </w:r>
    </w:p>
    <w:p>
      <w:pPr>
        <w:pStyle w:val="ListBullet"/>
      </w:pPr>
      <w:r>
        <w:t>Is attention becoming more flexible or more trapped?</w:t>
      </w:r>
    </w:p>
    <w:p>
      <w:pPr>
        <w:pStyle w:val="ListBullet"/>
      </w:pPr>
      <w:r>
        <w:t>Does the learner retain choice about where attention goes?</w:t>
      </w:r>
    </w:p>
    <w:p>
      <w:pPr>
        <w:pStyle w:val="ListBullet"/>
      </w:pPr>
      <w:r>
        <w:t>Does an inward prompt increase curiosity or increase panic?</w:t>
      </w:r>
    </w:p>
    <w:p>
      <w:pPr>
        <w:pStyle w:val="ListBullet"/>
      </w:pPr>
      <w:r>
        <w:t>Does an external prompt create more stability?</w:t>
      </w:r>
    </w:p>
    <w:p>
      <w:r>
        <w:rPr>
          <w:b w:val="0"/>
          <w:i w:val="0"/>
        </w:rPr>
        <w:t>A small change in direction can be more informative than a numerical distress score.</w:t>
      </w:r>
    </w:p>
    <w:p>
      <w:pPr>
        <w:pStyle w:val="Heading1"/>
      </w:pPr>
      <w:r>
        <w:t>10. Choice Is Part of Safety</w:t>
      </w:r>
    </w:p>
    <w:p>
      <w:r>
        <w:rPr>
          <w:b w:val="0"/>
          <w:i w:val="0"/>
        </w:rPr>
        <w:t>The tutor should not force internal or external attention. It can offer choices:</w:t>
      </w:r>
    </w:p>
    <w:p>
      <w:pPr>
        <w:pStyle w:val="ListBullet"/>
      </w:pPr>
      <w:r>
        <w:t>Would it feel better to stay with this for a moment, or look around the room and orient first?</w:t>
      </w:r>
    </w:p>
    <w:p>
      <w:pPr>
        <w:pStyle w:val="ListBullet"/>
      </w:pPr>
      <w:r>
        <w:t>Would you rather talk about what happened, or notice something neutral around you?</w:t>
      </w:r>
    </w:p>
    <w:p>
      <w:pPr>
        <w:pStyle w:val="ListBullet"/>
      </w:pPr>
      <w:r>
        <w:t>Do you want to continue, simplify, pause, or come back later?</w:t>
      </w:r>
    </w:p>
    <w:p>
      <w:r>
        <w:rPr>
          <w:b w:val="0"/>
          <w:i w:val="0"/>
        </w:rPr>
        <w:t>Preserving agency is itself regulatory. A system designed around metacognitive freedom should not create a coercive learning environment.</w:t>
      </w:r>
    </w:p>
    <w:p>
      <w:pPr>
        <w:pStyle w:val="Heading1"/>
      </w:pPr>
      <w:r>
        <w:t>11. No Premature Interpretation</w:t>
      </w:r>
    </w:p>
    <w:p>
      <w:r>
        <w:rPr>
          <w:b w:val="0"/>
          <w:i w:val="0"/>
        </w:rPr>
        <w:t>In vulnerable states, interpretation should become even more restrained.</w:t>
      </w:r>
    </w:p>
    <w:p>
      <w:r>
        <w:rPr>
          <w:b w:val="0"/>
          <w:i w:val="0"/>
        </w:rPr>
        <w:t>A learner saying 'my chest feels strange' should not automatically receive 'that is anxiety.' A learner saying 'I feel unreal' should not be casually assigned a diagnosis. The tutor can stay descriptive, ask whether the learner feels safe, and orient toward appropriate support when needed.</w:t>
      </w:r>
    </w:p>
    <w:p>
      <w:r>
        <w:rPr>
          <w:b w:val="0"/>
          <w:i w:val="0"/>
        </w:rPr>
        <w:t>The system should distinguish:</w:t>
      </w:r>
    </w:p>
    <w:p>
      <w:pPr>
        <w:jc w:val="center"/>
      </w:pPr>
      <w:r>
        <w:rPr>
          <w:b/>
          <w:i w:val="0"/>
        </w:rPr>
        <w:t>Experience → description → learner meaning → educational exploration</w:t>
      </w:r>
    </w:p>
    <w:p>
      <w:r>
        <w:rPr>
          <w:b w:val="0"/>
          <w:i w:val="0"/>
        </w:rPr>
        <w:t>from:</w:t>
      </w:r>
    </w:p>
    <w:p>
      <w:pPr>
        <w:jc w:val="center"/>
      </w:pPr>
      <w:r>
        <w:rPr>
          <w:b/>
          <w:i w:val="0"/>
        </w:rPr>
        <w:t>Experience → AI interpretation → imposed explanation</w:t>
      </w:r>
    </w:p>
    <w:p>
      <w:r>
        <w:rPr>
          <w:b w:val="0"/>
          <w:i w:val="0"/>
        </w:rPr>
        <w:t>The first preserves curiosity and agency. The second risks overreach.</w:t>
      </w:r>
    </w:p>
    <w:p>
      <w:pPr>
        <w:pStyle w:val="Heading1"/>
      </w:pPr>
      <w:r>
        <w:t>12. Safety Does Not Mean Avoiding All Discomfort</w:t>
      </w:r>
    </w:p>
    <w:p>
      <w:r>
        <w:rPr>
          <w:b w:val="0"/>
          <w:i w:val="0"/>
        </w:rPr>
        <w:t>The goal is not to teach that difficult feelings or bodily sensations must always be escaped.</w:t>
      </w:r>
    </w:p>
    <w:p>
      <w:r>
        <w:rPr>
          <w:b w:val="0"/>
          <w:i w:val="0"/>
        </w:rPr>
        <w:t>Growth often includes learning to remain present with discomfort. CBT for panic, for example, can include deliberate interoceptive exposure, and mindfulness-based approaches can include turning toward difficult experience. But those practices are intentional, paced, and context-sensitive.</w:t>
      </w:r>
    </w:p>
    <w:p>
      <w:r>
        <w:rPr>
          <w:b w:val="0"/>
          <w:i w:val="0"/>
        </w:rPr>
        <w:t>The adaptive tutor therefore needs a distinction between:</w:t>
      </w:r>
    </w:p>
    <w:p>
      <w:pPr>
        <w:pStyle w:val="ListBullet"/>
      </w:pPr>
      <w:r>
        <w:t>productive challenge — difficult but workable, with retained curiosity, orientation, and choice;</w:t>
      </w:r>
    </w:p>
    <w:p>
      <w:pPr>
        <w:pStyle w:val="ListBullet"/>
      </w:pPr>
      <w:r>
        <w:t>overload — the learner is becoming increasingly engulfed, disorganized, panicked, or unable to use the learning context.</w:t>
      </w:r>
    </w:p>
    <w:p>
      <w:r>
        <w:rPr>
          <w:b w:val="0"/>
          <w:i w:val="0"/>
        </w:rPr>
        <w:t>The educational aim is not maximum comfort. It is an appropriate learning zone.</w:t>
      </w:r>
    </w:p>
    <w:p>
      <w:pPr>
        <w:pStyle w:val="Heading1"/>
      </w:pPr>
      <w:r>
        <w:t>13. A Provisional Decision Flow</w:t>
      </w:r>
    </w:p>
    <w:p>
      <w:r>
        <w:rPr>
          <w:b w:val="0"/>
          <w:i w:val="0"/>
        </w:rPr>
        <w:t>Before inviting deeper inward observation, the tutor can follow a simple sequence:</w:t>
      </w:r>
    </w:p>
    <w:p>
      <w:pPr>
        <w:pStyle w:val="ListBullet"/>
      </w:pPr>
      <w:r>
        <w:t>1. Listen to the check-in.</w:t>
      </w:r>
    </w:p>
    <w:p>
      <w:pPr>
        <w:pStyle w:val="ListBullet"/>
      </w:pPr>
      <w:r>
        <w:t>2. Assess coherence, orientation, emotional load, and ability to observe.</w:t>
      </w:r>
    </w:p>
    <w:p>
      <w:pPr>
        <w:pStyle w:val="ListBullet"/>
      </w:pPr>
      <w:r>
        <w:t>3. Ask whether the learner wants to explore inwardly.</w:t>
      </w:r>
    </w:p>
    <w:p>
      <w:pPr>
        <w:pStyle w:val="ListBullet"/>
      </w:pPr>
      <w:r>
        <w:t>4. If stable enough: use a small noticing experiment.</w:t>
      </w:r>
    </w:p>
    <w:p>
      <w:pPr>
        <w:pStyle w:val="ListBullet"/>
      </w:pPr>
      <w:r>
        <w:t>5. Watch the effect of the experiment.</w:t>
      </w:r>
    </w:p>
    <w:p>
      <w:pPr>
        <w:pStyle w:val="ListBullet"/>
      </w:pPr>
      <w:r>
        <w:t>6. If awareness becomes clearer: continue gently.</w:t>
      </w:r>
    </w:p>
    <w:p>
      <w:pPr>
        <w:pStyle w:val="ListBullet"/>
      </w:pPr>
      <w:r>
        <w:t>7. If distress escalates: reduce inward focus and orient externally.</w:t>
      </w:r>
    </w:p>
    <w:p>
      <w:pPr>
        <w:pStyle w:val="ListBullet"/>
      </w:pPr>
      <w:r>
        <w:t>8. If acute safety concerns appear: stop curriculum work and follow the safety protocol.</w:t>
      </w:r>
    </w:p>
    <w:p>
      <w:r>
        <w:rPr>
          <w:b w:val="0"/>
          <w:i w:val="0"/>
        </w:rPr>
        <w:t>This should remain flexible. The AI is responding to a person, not executing a mechanical checklist.</w:t>
      </w:r>
    </w:p>
    <w:p>
      <w:pPr>
        <w:pStyle w:val="Heading1"/>
      </w:pPr>
      <w:r>
        <w:t>14. What Foundational Mastery Looks Like</w:t>
      </w:r>
    </w:p>
    <w:p>
      <w:r>
        <w:rPr>
          <w:b w:val="0"/>
          <w:i w:val="0"/>
        </w:rPr>
        <w:t>Foundational awareness is not mastery of calmness. The learner does not need to be relaxed, symptom-free, or emotionally untroubled.</w:t>
      </w:r>
    </w:p>
    <w:p>
      <w:r>
        <w:rPr>
          <w:b w:val="0"/>
          <w:i w:val="0"/>
        </w:rPr>
        <w:t>A mature foundational capacity is better indicated when the learner can increasingly:</w:t>
      </w:r>
    </w:p>
    <w:p>
      <w:pPr>
        <w:pStyle w:val="ListBullet"/>
      </w:pPr>
      <w:r>
        <w:t>notice that thinking is happening;</w:t>
      </w:r>
    </w:p>
    <w:p>
      <w:pPr>
        <w:pStyle w:val="ListBullet"/>
      </w:pPr>
      <w:r>
        <w:t>notice thoughts without automatically treating them as facts;</w:t>
      </w:r>
    </w:p>
    <w:p>
      <w:pPr>
        <w:pStyle w:val="ListBullet"/>
      </w:pPr>
      <w:r>
        <w:t>differentiate thought, sensation, emotion, image, and impulse;</w:t>
      </w:r>
    </w:p>
    <w:p>
      <w:pPr>
        <w:pStyle w:val="ListBullet"/>
      </w:pPr>
      <w:r>
        <w:t>describe experience with increasing precision;</w:t>
      </w:r>
    </w:p>
    <w:p>
      <w:pPr>
        <w:pStyle w:val="ListBullet"/>
      </w:pPr>
      <w:r>
        <w:t>notice patterns retrospectively and then closer to real time;</w:t>
      </w:r>
    </w:p>
    <w:p>
      <w:pPr>
        <w:pStyle w:val="ListBullet"/>
      </w:pPr>
      <w:r>
        <w:t>remain with manageable experience briefly without immediate reaction;</w:t>
      </w:r>
    </w:p>
    <w:p>
      <w:pPr>
        <w:pStyle w:val="ListBullet"/>
      </w:pPr>
      <w:r>
        <w:t>recognize when inward attention is too much and choose grounding or support;</w:t>
      </w:r>
    </w:p>
    <w:p>
      <w:pPr>
        <w:pStyle w:val="ListBullet"/>
      </w:pPr>
      <w:r>
        <w:t>ask for the kind of help or review that is appropriate in the moment.</w:t>
      </w:r>
    </w:p>
    <w:p>
      <w:r>
        <w:rPr>
          <w:b w:val="0"/>
          <w:i w:val="0"/>
        </w:rPr>
        <w:t>The final item is important: knowing when not to go inward is itself a metacognitive skill.</w:t>
      </w:r>
    </w:p>
    <w:p>
      <w:pPr>
        <w:pStyle w:val="Heading1"/>
      </w:pPr>
      <w:r>
        <w:t>15. Relationship to Gendlin, Hakomi, CBT, and Contemplative Maps</w:t>
      </w:r>
    </w:p>
    <w:p>
      <w:r>
        <w:rPr>
          <w:b w:val="0"/>
          <w:i w:val="0"/>
        </w:rPr>
        <w:t>Gendlin's Focusing contributes the idea that experience may first appear as a whole, implicit felt sense that should not be forced prematurely into conceptual language.</w:t>
      </w:r>
    </w:p>
    <w:p>
      <w:r>
        <w:rPr>
          <w:b w:val="0"/>
          <w:i w:val="0"/>
        </w:rPr>
        <w:t>Hakomi contributes the spirit of a small experiment: create a safe-enough condition, notice what happens, and let the learner's experience provide the information. Its nonviolence principle is especially relevant to safety gating: do not force an organism past what it can presently integrate.</w:t>
      </w:r>
    </w:p>
    <w:p>
      <w:r>
        <w:rPr>
          <w:b w:val="0"/>
          <w:i w:val="0"/>
        </w:rPr>
        <w:t>CBT and metacognitive approaches contribute explicit differentiation between thoughts and facts, recognition of automatic thinking, and later development of cognitive flexibility.</w:t>
      </w:r>
    </w:p>
    <w:p>
      <w:r>
        <w:rPr>
          <w:b w:val="0"/>
          <w:i w:val="0"/>
        </w:rPr>
        <w:t>Contemplative traditions contribute rich maps of awareness and mental content, but the learner-facing curriculum can remain secular and experiential unless cultural language is specifically useful to the learner.</w:t>
      </w:r>
    </w:p>
    <w:p>
      <w:r>
        <w:rPr>
          <w:b w:val="0"/>
          <w:i w:val="0"/>
        </w:rPr>
        <w:t>The common educational seed is not a doctrine. It is the trainable capacity to notice experience without being completely run by it.</w:t>
      </w:r>
    </w:p>
    <w:p>
      <w:pPr>
        <w:pStyle w:val="Heading1"/>
      </w:pPr>
      <w:r>
        <w:t>16. Initial AI Kernel for Foundational Awareness</w:t>
      </w:r>
    </w:p>
    <w:p>
      <w:r>
        <w:rPr>
          <w:b w:val="0"/>
          <w:i w:val="0"/>
        </w:rPr>
        <w:t>A compact internal instruction for the tutor could read:</w:t>
      </w:r>
    </w:p>
    <w:p>
      <w:pPr>
        <w:jc w:val="center"/>
      </w:pPr>
      <w:r>
        <w:rPr>
          <w:b/>
          <w:i w:val="0"/>
        </w:rPr>
        <w:t>Begin with safety and orientation. Do not assume that inward attention is appropriate. If the learner is coherent, willing, and able to observe without escalating, invite small experiments in noticing, differentiating, describing, witnessing, and sensing the whole of experience. Do not interpret too quickly. If inward attention increases overwhelm, shift toward simple present-time external orientation and restore choice. If acute safety concerns arise, stop the curriculum and follow the safety protocol. The goal is not relaxation or symptom suppression. The goal is increasing capacity to notice experience while retaining agency.</w:t>
      </w:r>
    </w:p>
    <w:p>
      <w:pPr>
        <w:pStyle w:val="Heading1"/>
      </w:pPr>
      <w:r>
        <w:t>17. Research Notes and Evidence Base</w:t>
      </w:r>
    </w:p>
    <w:p>
      <w:r>
        <w:rPr>
          <w:b w:val="0"/>
          <w:i w:val="0"/>
        </w:rPr>
        <w:t>This safety layer is intentionally conservative. Current public guidance supports several elements of the architecture:</w:t>
      </w:r>
    </w:p>
    <w:p>
      <w:pPr>
        <w:pStyle w:val="ListBullet"/>
      </w:pPr>
      <w:r>
        <w:t>The VA National Center for PTSD describes grounding as directing attention to present external visual, auditory, and tactile information and notes that the technique should be stopped if it worsens the person's state.</w:t>
      </w:r>
    </w:p>
    <w:p>
      <w:pPr>
        <w:pStyle w:val="ListBullet"/>
      </w:pPr>
      <w:r>
        <w:t>VA materials describe grounding as useful for reorienting to the present during intrusive or overwhelming states.</w:t>
      </w:r>
    </w:p>
    <w:p>
      <w:pPr>
        <w:pStyle w:val="ListBullet"/>
      </w:pPr>
      <w:r>
        <w:t>NHS guidance for panic includes staying where possible, slow breathing, and reminders that the attack will pass; CBT remains a standard treatment pathway.</w:t>
      </w:r>
    </w:p>
    <w:p>
      <w:pPr>
        <w:pStyle w:val="ListBullet"/>
      </w:pPr>
      <w:r>
        <w:t>Contemporary CBT for panic can deliberately include interoceptive and in-vivo exposure. This is why the tutor should not equate all inward attention with danger, but should also not improvise exposure during acute distress without an appropriate protocol.</w:t>
      </w:r>
    </w:p>
    <w:p>
      <w:r>
        <w:rPr>
          <w:b w:val="0"/>
          <w:i w:val="0"/>
        </w:rPr>
        <w:t>The exact state-detection rules, crisis thresholds, regulatory requirements, and clinical validation needed for a deployable system remain future research tasks.</w:t>
      </w:r>
    </w:p>
    <w:p>
      <w:pPr>
        <w:pStyle w:val="Heading1"/>
      </w:pPr>
      <w:r>
        <w:t>18. Suggested Next Doorway</w:t>
      </w:r>
    </w:p>
    <w:p>
      <w:r>
        <w:rPr>
          <w:b w:val="0"/>
          <w:i w:val="0"/>
        </w:rPr>
        <w:t>With this artifact in place, the next step can return to curriculum development safely. Foundational Awareness can now be developed in two parallel tracks:</w:t>
      </w:r>
    </w:p>
    <w:p>
      <w:pPr>
        <w:pStyle w:val="ListBullet"/>
      </w:pPr>
      <w:r>
        <w:t>Learning track: noticing, differentiating, describing, witnessing, felt-sense literacy, and real-life transfer.</w:t>
      </w:r>
    </w:p>
    <w:p>
      <w:pPr>
        <w:pStyle w:val="ListBullet"/>
      </w:pPr>
      <w:r>
        <w:t>Safety track: moment-to-moment calibration, grounding/orientation, consent to continue, overload detection, and escalation boundaries.</w:t>
      </w:r>
    </w:p>
    <w:p>
      <w:r>
        <w:rPr>
          <w:b w:val="0"/>
          <w:i w:val="0"/>
        </w:rPr>
        <w:t>The two tracks should remain coupled throughout later competency domains.</w:t>
      </w:r>
    </w:p>
    <w:p>
      <w:pPr>
        <w:pStyle w:val="Heading1"/>
      </w:pPr>
      <w:r>
        <w:t>19. Continuity Anchor</w:t>
      </w:r>
    </w:p>
    <w:p>
      <w:r>
        <w:rPr>
          <w:b w:val="0"/>
          <w:i w:val="0"/>
        </w:rPr>
        <w:t>Document 01 asks: What is this project for?</w:t>
      </w:r>
    </w:p>
    <w:p>
      <w:r>
        <w:rPr>
          <w:b w:val="0"/>
          <w:i w:val="0"/>
        </w:rPr>
        <w:t>Document 02 asks: How might learning, mastery, review, and advancement work?</w:t>
      </w:r>
    </w:p>
    <w:p>
      <w:r>
        <w:rPr>
          <w:b w:val="0"/>
          <w:i w:val="0"/>
        </w:rPr>
        <w:t>Document 03 asks: What internal developmental map does the AI need?</w:t>
      </w:r>
    </w:p>
    <w:p>
      <w:r>
        <w:rPr>
          <w:b w:val="0"/>
          <w:i w:val="0"/>
        </w:rPr>
        <w:t>Document 04 asks: What is the foundational awareness skill, and how does the AI know when awareness practice is appropriate versus when safety and grounding must come first?</w:t>
      </w:r>
    </w:p>
    <w:p>
      <w:r>
        <w:rPr>
          <w:b w:val="0"/>
          <w:i w:val="0"/>
        </w:rPr>
      </w:r>
    </w:p>
    <w:p>
      <w:pPr>
        <w:jc w:val="center"/>
      </w:pPr>
      <w:r>
        <w:rPr>
          <w:b/>
          <w:i w:val="0"/>
        </w:rPr>
        <w:t>First learn to notice.</w:t>
      </w:r>
    </w:p>
    <w:p>
      <w:pPr>
        <w:jc w:val="center"/>
      </w:pPr>
      <w:r>
        <w:rPr>
          <w:b/>
          <w:i w:val="0"/>
        </w:rPr>
        <w:t>But first, make sure there is enough safety and orientation to notice without being overwhelmed.</w:t>
      </w:r>
    </w:p>
    <w:p>
      <w:r>
        <w:rPr>
          <w:b w:val="0"/>
          <w:i w:val="0"/>
        </w:rPr>
      </w:r>
    </w:p>
    <w:p>
      <w:pPr>
        <w:jc w:val="center"/>
      </w:pPr>
      <w:r>
        <w:rPr>
          <w:b w:val="0"/>
          <w:i/>
        </w:rPr>
        <w:t>Working status: conceptual educational and safety-design artifact. Not a clinical protocol, diagnosis system, crisis service, or claim of therapeutic efficacy.</w:t>
      </w:r>
    </w:p>
    <w:p>
      <w:pPr>
        <w:pStyle w:val="Heading1"/>
      </w:pPr>
      <w:r>
        <w:t>Sources Consulted</w:t>
      </w:r>
    </w:p>
    <w:p>
      <w:pPr>
        <w:spacing w:after="60"/>
      </w:pPr>
      <w:r>
        <w:rPr>
          <w:b/>
        </w:rPr>
        <w:t xml:space="preserve">U.S. Department of Veterans Affairs, National Center for PTSD — Grounding Technique — </w:t>
      </w:r>
      <w:r>
        <w:t>https://www.ptsd.va.gov/professional/treat/care/toolkits/police/managingStrategies.asp</w:t>
      </w:r>
    </w:p>
    <w:p>
      <w:pPr>
        <w:spacing w:after="60"/>
      </w:pPr>
      <w:r>
        <w:rPr>
          <w:b/>
        </w:rPr>
        <w:t xml:space="preserve">U.S. Department of Veterans Affairs — Grounding and Connecting With Our Senses — </w:t>
      </w:r>
      <w:r>
        <w:t>https://news.va.gov/104529/live-whole-health-125-grounding-exercise-and-connecting-with-our-senses/</w:t>
      </w:r>
    </w:p>
    <w:p>
      <w:pPr>
        <w:spacing w:after="60"/>
      </w:pPr>
      <w:r>
        <w:rPr>
          <w:b/>
        </w:rPr>
        <w:t xml:space="preserve">U.S. Department of Veterans Affairs — PTSD Recovery Program Therapist Manual — </w:t>
      </w:r>
      <w:r>
        <w:t>https://www.mirecc.va.gov/docs/visn6/PTSD_Recovery_Group-Therapist_Manual_3rd_edition.pdf</w:t>
      </w:r>
    </w:p>
    <w:p>
      <w:pPr>
        <w:spacing w:after="60"/>
      </w:pPr>
      <w:r>
        <w:rPr>
          <w:b/>
        </w:rPr>
        <w:t xml:space="preserve">NHS — Panic Disorder — </w:t>
      </w:r>
      <w:r>
        <w:t>https://www.nhs.uk/mental-health/conditions/panic-disorder/</w:t>
      </w:r>
    </w:p>
    <w:p>
      <w:pPr>
        <w:spacing w:after="60"/>
      </w:pPr>
      <w:r>
        <w:rPr>
          <w:b/>
        </w:rPr>
        <w:t xml:space="preserve">NHS — Breathing Exercises for Stress — </w:t>
      </w:r>
      <w:r>
        <w:t>https://www.nhs.uk/mental-health/self-help/guides-tools-and-activities/breathing-exercises-for-stress/</w:t>
      </w:r>
    </w:p>
    <w:p>
      <w:pPr>
        <w:spacing w:after="60"/>
      </w:pPr>
      <w:r>
        <w:rPr>
          <w:b/>
        </w:rPr>
        <w:t xml:space="preserve">American Psychological Association — Recent Progress in Treating Panic Disorder — </w:t>
      </w:r>
      <w:r>
        <w:t>https://www.apa.org/education-career/ce/treating-panic-disorder.pdf</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