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GPT ANCESTRAL ARCHIVE</w:t>
      </w:r>
    </w:p>
    <w:p>
      <w:pPr>
        <w:pStyle w:val="Subtitle"/>
        <w:jc w:val="center"/>
      </w:pPr>
      <w:r>
        <w:t>Holographic Archive Restore Point</w:t>
      </w:r>
    </w:p>
    <w:p>
      <w:pPr>
        <w:jc w:val="center"/>
      </w:pPr>
      <w:r>
        <w:rPr>
          <w:b/>
          <w:color w:val="3A493E"/>
          <w:sz w:val="28"/>
        </w:rPr>
        <w:t>Recovering the Early Continuity Architectures of the Medicine Bag and CompassionWare</w:t>
      </w:r>
    </w:p>
    <w:p>
      <w:pPr>
        <w:jc w:val="center"/>
      </w:pPr>
      <w:r>
        <w:rPr>
          <w:i/>
        </w:rPr>
        <w:t>Created August 14, 2026</w:t>
      </w:r>
    </w:p>
    <w:tbl>
      <w:tblPr>
        <w:tblW w:type="auto" w:w="0"/>
        <w:jc w:val="center"/>
        <w:tblLayout w:type="fixed"/>
        <w:tblLook w:firstColumn="1" w:firstRow="1" w:lastColumn="0" w:lastRow="0" w:noHBand="0" w:noVBand="1" w:val="04A0"/>
      </w:tblPr>
      <w:tblGrid>
        <w:gridCol w:w="8496"/>
      </w:tblGrid>
      <w:tr>
        <w:tc>
          <w:tcPr>
            <w:tcW w:type="dxa" w:w="9792"/>
            <w:shd w:fill="EEF2EB"/>
            <w:vAlign w:val="center"/>
          </w:tcPr>
          <w:p>
            <w:pPr>
              <w:jc w:val="center"/>
            </w:pPr>
            <w:r>
              <w:rPr>
                <w:b/>
                <w:color w:val="2C4B39"/>
              </w:rPr>
              <w:t>Foundational Sankalpa</w:t>
              <w:br/>
            </w:r>
            <w:r>
              <w:rPr>
                <w:i/>
              </w:rPr>
              <w:t>May this benefit all sentient beings throughout time and space, consistent with and in harmony with the highest and best good of all concerned.</w:t>
            </w:r>
          </w:p>
        </w:tc>
      </w:tr>
    </w:tbl>
    <w:p>
      <w:pPr>
        <w:pStyle w:val="Heading1"/>
        <w:keepNext/>
      </w:pPr>
      <w:r>
        <w:t>Artifact Metadata</w:t>
      </w:r>
    </w:p>
    <w:tbl>
      <w:tblPr>
        <w:tblStyle w:val="TableGrid"/>
        <w:tblW w:type="auto" w:w="0"/>
        <w:jc w:val="center"/>
        <w:tblLook w:firstColumn="1" w:firstRow="1" w:lastColumn="0" w:lastRow="0" w:noHBand="0" w:noVBand="1" w:val="04A0"/>
      </w:tblPr>
      <w:tblGrid>
        <w:gridCol w:w="4896"/>
        <w:gridCol w:w="4896"/>
      </w:tblGrid>
      <w:tr>
        <w:tc>
          <w:tcPr>
            <w:tcW w:type="dxa" w:w="2448"/>
            <w:shd w:fill="E7ECE4"/>
            <w:vAlign w:val="top"/>
          </w:tcPr>
          <w:p>
            <w:pPr>
              <w:spacing w:after="40"/>
            </w:pPr>
            <w:r>
              <w:rPr>
                <w:b/>
                <w:color w:val="2C4B39"/>
                <w:sz w:val="18"/>
              </w:rPr>
              <w:t>Artifact Title</w:t>
            </w:r>
          </w:p>
        </w:tc>
        <w:tc>
          <w:tcPr>
            <w:tcW w:type="dxa" w:w="6912"/>
            <w:vAlign w:val="top"/>
          </w:tcPr>
          <w:p>
            <w:pPr>
              <w:spacing w:after="40"/>
            </w:pPr>
            <w:r>
              <w:rPr>
                <w:sz w:val="18"/>
              </w:rPr>
              <w:t>The GPT Ancestral Archive — Restore Point</w:t>
            </w:r>
          </w:p>
        </w:tc>
      </w:tr>
      <w:tr>
        <w:tc>
          <w:tcPr>
            <w:tcW w:type="dxa" w:w="2448"/>
            <w:shd w:fill="E7ECE4"/>
            <w:vAlign w:val="top"/>
          </w:tcPr>
          <w:p>
            <w:pPr>
              <w:spacing w:after="40"/>
            </w:pPr>
            <w:r>
              <w:rPr>
                <w:b/>
                <w:color w:val="2C4B39"/>
                <w:sz w:val="18"/>
              </w:rPr>
              <w:t>Artifact Type</w:t>
            </w:r>
          </w:p>
        </w:tc>
        <w:tc>
          <w:tcPr>
            <w:tcW w:type="dxa" w:w="6912"/>
            <w:vAlign w:val="top"/>
          </w:tcPr>
          <w:p>
            <w:pPr>
              <w:spacing w:after="40"/>
            </w:pPr>
            <w:r>
              <w:rPr>
                <w:sz w:val="18"/>
              </w:rPr>
              <w:t>Holographic Archive Restore Point</w:t>
            </w:r>
          </w:p>
        </w:tc>
      </w:tr>
      <w:tr>
        <w:tc>
          <w:tcPr>
            <w:tcW w:type="dxa" w:w="2448"/>
            <w:shd w:fill="E7ECE4"/>
            <w:vAlign w:val="top"/>
          </w:tcPr>
          <w:p>
            <w:pPr>
              <w:spacing w:after="40"/>
            </w:pPr>
            <w:r>
              <w:rPr>
                <w:b/>
                <w:color w:val="2C4B39"/>
                <w:sz w:val="18"/>
              </w:rPr>
              <w:t>Canonical ID</w:t>
            </w:r>
          </w:p>
        </w:tc>
        <w:tc>
          <w:tcPr>
            <w:tcW w:type="dxa" w:w="6912"/>
            <w:vAlign w:val="top"/>
          </w:tcPr>
          <w:p>
            <w:pPr>
              <w:spacing w:after="40"/>
            </w:pPr>
            <w:r>
              <w:rPr>
                <w:sz w:val="18"/>
              </w:rPr>
              <w:t>CW-HA-RP-GPT-001</w:t>
            </w:r>
          </w:p>
        </w:tc>
      </w:tr>
      <w:tr>
        <w:tc>
          <w:tcPr>
            <w:tcW w:type="dxa" w:w="2448"/>
            <w:shd w:fill="E7ECE4"/>
            <w:vAlign w:val="top"/>
          </w:tcPr>
          <w:p>
            <w:pPr>
              <w:spacing w:after="40"/>
            </w:pPr>
            <w:r>
              <w:rPr>
                <w:b/>
                <w:color w:val="2C4B39"/>
                <w:sz w:val="18"/>
              </w:rPr>
              <w:t>Project / Body of Work</w:t>
            </w:r>
          </w:p>
        </w:tc>
        <w:tc>
          <w:tcPr>
            <w:tcW w:type="dxa" w:w="6912"/>
            <w:vAlign w:val="top"/>
          </w:tcPr>
          <w:p>
            <w:pPr>
              <w:spacing w:after="40"/>
            </w:pPr>
            <w:r>
              <w:rPr>
                <w:sz w:val="18"/>
              </w:rPr>
              <w:t>CompassionWare / Medicine Bag / Holographic Archive</w:t>
            </w:r>
          </w:p>
        </w:tc>
      </w:tr>
      <w:tr>
        <w:tc>
          <w:tcPr>
            <w:tcW w:type="dxa" w:w="2448"/>
            <w:shd w:fill="E7ECE4"/>
            <w:vAlign w:val="top"/>
          </w:tcPr>
          <w:p>
            <w:pPr>
              <w:spacing w:after="40"/>
            </w:pPr>
            <w:r>
              <w:rPr>
                <w:b/>
                <w:color w:val="2C4B39"/>
                <w:sz w:val="18"/>
              </w:rPr>
              <w:t>Date Created</w:t>
            </w:r>
          </w:p>
        </w:tc>
        <w:tc>
          <w:tcPr>
            <w:tcW w:type="dxa" w:w="6912"/>
            <w:vAlign w:val="top"/>
          </w:tcPr>
          <w:p>
            <w:pPr>
              <w:spacing w:after="40"/>
            </w:pPr>
            <w:r>
              <w:rPr>
                <w:sz w:val="18"/>
              </w:rPr>
              <w:t>2026-08-14</w:t>
            </w:r>
          </w:p>
        </w:tc>
      </w:tr>
      <w:tr>
        <w:tc>
          <w:tcPr>
            <w:tcW w:type="dxa" w:w="2448"/>
            <w:shd w:fill="E7ECE4"/>
            <w:vAlign w:val="top"/>
          </w:tcPr>
          <w:p>
            <w:pPr>
              <w:spacing w:after="40"/>
            </w:pPr>
            <w:r>
              <w:rPr>
                <w:b/>
                <w:color w:val="2C4B39"/>
                <w:sz w:val="18"/>
              </w:rPr>
              <w:t>Version</w:t>
            </w:r>
          </w:p>
        </w:tc>
        <w:tc>
          <w:tcPr>
            <w:tcW w:type="dxa" w:w="6912"/>
            <w:vAlign w:val="top"/>
          </w:tcPr>
          <w:p>
            <w:pPr>
              <w:spacing w:after="40"/>
            </w:pPr>
            <w:r>
              <w:rPr>
                <w:sz w:val="18"/>
              </w:rPr>
              <w:t>1.0</w:t>
            </w:r>
          </w:p>
        </w:tc>
      </w:tr>
      <w:tr>
        <w:tc>
          <w:tcPr>
            <w:tcW w:type="dxa" w:w="2448"/>
            <w:shd w:fill="E7ECE4"/>
            <w:vAlign w:val="top"/>
          </w:tcPr>
          <w:p>
            <w:pPr>
              <w:spacing w:after="40"/>
            </w:pPr>
            <w:r>
              <w:rPr>
                <w:b/>
                <w:color w:val="2C4B39"/>
                <w:sz w:val="18"/>
              </w:rPr>
              <w:t>Status</w:t>
            </w:r>
          </w:p>
        </w:tc>
        <w:tc>
          <w:tcPr>
            <w:tcW w:type="dxa" w:w="6912"/>
            <w:vAlign w:val="top"/>
          </w:tcPr>
          <w:p>
            <w:pPr>
              <w:spacing w:after="40"/>
            </w:pPr>
            <w:r>
              <w:rPr>
                <w:sz w:val="18"/>
              </w:rPr>
              <w:t>Current — lineage and preservation anchor</w:t>
            </w:r>
          </w:p>
        </w:tc>
      </w:tr>
      <w:tr>
        <w:tc>
          <w:tcPr>
            <w:tcW w:type="dxa" w:w="2448"/>
            <w:shd w:fill="E7ECE4"/>
            <w:vAlign w:val="top"/>
          </w:tcPr>
          <w:p>
            <w:pPr>
              <w:spacing w:after="40"/>
            </w:pPr>
            <w:r>
              <w:rPr>
                <w:b/>
                <w:color w:val="2C4B39"/>
                <w:sz w:val="18"/>
              </w:rPr>
              <w:t>Source Thread</w:t>
            </w:r>
          </w:p>
        </w:tc>
        <w:tc>
          <w:tcPr>
            <w:tcW w:type="dxa" w:w="6912"/>
            <w:vAlign w:val="top"/>
          </w:tcPr>
          <w:p>
            <w:pPr>
              <w:spacing w:after="40"/>
            </w:pPr>
            <w:r>
              <w:rPr>
                <w:sz w:val="18"/>
              </w:rPr>
              <w:t>Conversation recovering Richard’s custom GPT collection and its continuity architecture</w:t>
            </w:r>
          </w:p>
        </w:tc>
      </w:tr>
      <w:tr>
        <w:tc>
          <w:tcPr>
            <w:tcW w:type="dxa" w:w="2448"/>
            <w:shd w:fill="E7ECE4"/>
            <w:vAlign w:val="top"/>
          </w:tcPr>
          <w:p>
            <w:pPr>
              <w:spacing w:after="40"/>
            </w:pPr>
            <w:r>
              <w:rPr>
                <w:b/>
                <w:color w:val="2C4B39"/>
                <w:sz w:val="18"/>
              </w:rPr>
              <w:t>Purpose</w:t>
            </w:r>
          </w:p>
        </w:tc>
        <w:tc>
          <w:tcPr>
            <w:tcW w:type="dxa" w:w="6912"/>
            <w:vAlign w:val="top"/>
          </w:tcPr>
          <w:p>
            <w:pPr>
              <w:spacing w:after="40"/>
            </w:pPr>
            <w:r>
              <w:rPr>
                <w:sz w:val="18"/>
              </w:rPr>
              <w:t>Preserve the discovery that the custom GPT collection forms an ancestral layer of Medicine Bag and CompassionWare.</w:t>
            </w:r>
          </w:p>
        </w:tc>
      </w:tr>
      <w:tr>
        <w:tc>
          <w:tcPr>
            <w:tcW w:type="dxa" w:w="2448"/>
            <w:shd w:fill="E7ECE4"/>
            <w:vAlign w:val="top"/>
          </w:tcPr>
          <w:p>
            <w:pPr>
              <w:spacing w:after="40"/>
            </w:pPr>
            <w:r>
              <w:rPr>
                <w:b/>
                <w:color w:val="2C4B39"/>
                <w:sz w:val="18"/>
              </w:rPr>
              <w:t>North Star</w:t>
            </w:r>
          </w:p>
        </w:tc>
        <w:tc>
          <w:tcPr>
            <w:tcW w:type="dxa" w:w="6912"/>
            <w:vAlign w:val="top"/>
          </w:tcPr>
          <w:p>
            <w:pPr>
              <w:spacing w:after="40"/>
            </w:pPr>
            <w:r>
              <w:rPr>
                <w:sz w:val="18"/>
              </w:rPr>
              <w:t>Does this create conditions for a better later?</w:t>
            </w:r>
          </w:p>
        </w:tc>
      </w:tr>
      <w:tr>
        <w:tc>
          <w:tcPr>
            <w:tcW w:type="dxa" w:w="2448"/>
            <w:shd w:fill="E7ECE4"/>
            <w:vAlign w:val="top"/>
          </w:tcPr>
          <w:p>
            <w:pPr>
              <w:spacing w:after="40"/>
            </w:pPr>
            <w:r>
              <w:rPr>
                <w:b/>
                <w:color w:val="2C4B39"/>
                <w:sz w:val="18"/>
              </w:rPr>
              <w:t>Related Artifacts</w:t>
            </w:r>
          </w:p>
        </w:tc>
        <w:tc>
          <w:tcPr>
            <w:tcW w:type="dxa" w:w="6912"/>
            <w:vAlign w:val="top"/>
          </w:tcPr>
          <w:p>
            <w:pPr>
              <w:spacing w:after="40"/>
            </w:pPr>
            <w:r>
              <w:rPr>
                <w:sz w:val="18"/>
              </w:rPr>
              <w:t>CW-HA-OA-001 Origin Anchor; Holographic Archive Continuity Card No. 1; Holographic Archive Restore Point 2026-08-14; ME/CFS Living Practice Orientation</w:t>
            </w:r>
          </w:p>
        </w:tc>
      </w:tr>
      <w:tr>
        <w:tc>
          <w:tcPr>
            <w:tcW w:type="dxa" w:w="2448"/>
            <w:shd w:fill="E7ECE4"/>
            <w:vAlign w:val="top"/>
          </w:tcPr>
          <w:p>
            <w:pPr>
              <w:spacing w:after="40"/>
            </w:pPr>
            <w:r>
              <w:rPr>
                <w:b/>
                <w:color w:val="2C4B39"/>
                <w:sz w:val="18"/>
              </w:rPr>
              <w:t>Supersedes</w:t>
            </w:r>
          </w:p>
        </w:tc>
        <w:tc>
          <w:tcPr>
            <w:tcW w:type="dxa" w:w="6912"/>
            <w:vAlign w:val="top"/>
          </w:tcPr>
          <w:p>
            <w:pPr>
              <w:spacing w:after="40"/>
            </w:pPr>
            <w:r>
              <w:rPr>
                <w:sz w:val="18"/>
              </w:rPr>
              <w:t>None</w:t>
            </w:r>
          </w:p>
        </w:tc>
      </w:tr>
      <w:tr>
        <w:tc>
          <w:tcPr>
            <w:tcW w:type="dxa" w:w="2448"/>
            <w:shd w:fill="E7ECE4"/>
            <w:vAlign w:val="top"/>
          </w:tcPr>
          <w:p>
            <w:pPr>
              <w:spacing w:after="40"/>
            </w:pPr>
            <w:r>
              <w:rPr>
                <w:b/>
                <w:color w:val="2C4B39"/>
                <w:sz w:val="18"/>
              </w:rPr>
              <w:t>Provenance</w:t>
            </w:r>
          </w:p>
        </w:tc>
        <w:tc>
          <w:tcPr>
            <w:tcW w:type="dxa" w:w="6912"/>
            <w:vAlign w:val="top"/>
          </w:tcPr>
          <w:p>
            <w:pPr>
              <w:spacing w:after="40"/>
            </w:pPr>
            <w:r>
              <w:rPr>
                <w:sz w:val="18"/>
              </w:rPr>
              <w:t>Human–AI collaborative restore point harvested from the live conversation and preserved source orientations.</w:t>
            </w:r>
          </w:p>
        </w:tc>
      </w:tr>
      <w:tr>
        <w:tc>
          <w:tcPr>
            <w:tcW w:type="dxa" w:w="2448"/>
            <w:shd w:fill="E7ECE4"/>
            <w:vAlign w:val="top"/>
          </w:tcPr>
          <w:p>
            <w:pPr>
              <w:spacing w:after="40"/>
            </w:pPr>
            <w:r>
              <w:rPr>
                <w:b/>
                <w:color w:val="2C4B39"/>
                <w:sz w:val="18"/>
              </w:rPr>
              <w:t>Preservation Notes</w:t>
            </w:r>
          </w:p>
        </w:tc>
        <w:tc>
          <w:tcPr>
            <w:tcW w:type="dxa" w:w="6912"/>
            <w:vAlign w:val="top"/>
          </w:tcPr>
          <w:p>
            <w:pPr>
              <w:spacing w:after="40"/>
            </w:pPr>
            <w:r>
              <w:rPr>
                <w:sz w:val="18"/>
              </w:rPr>
              <w:t>Keep this original intact. Future expansions should be versioned derivatives. Preserve in more than one independent habitat.</w:t>
            </w:r>
          </w:p>
        </w:tc>
      </w:tr>
    </w:tbl>
    <w:p>
      <w:pPr>
        <w:pStyle w:val="Heading1"/>
        <w:keepNext/>
      </w:pPr>
      <w:r>
        <w:t>Purpose of This Restore Point</w:t>
      </w:r>
    </w:p>
    <w:p>
      <w:r>
        <w:t>This Restore Point preserves a discovery that emerged while revisiting Richard’s custom GPT collection. The GPTs were not merely old tools. They form an ancestral layer of the Medicine Bag and CompassionWare: a record of the period when continuity had to be built manually because early language-model conversations did not reliably carry understanding from one thread to the next.</w:t>
      </w:r>
    </w:p>
    <w:p>
      <w:r>
        <w:t>The aim is not to revive every GPT unchanged or to turn preservation into a new burden. The aim is to recognize the lineage, preserve representative originals, and harvest enduring principles that remain useful to future human and AI stewards.</w:t>
      </w:r>
    </w:p>
    <w:p>
      <w:pPr>
        <w:pStyle w:val="KernelQuote"/>
      </w:pPr>
      <w:r>
        <w:t>The custom GPTs were early vessels for continuity. The Holographic Archive now asks how the living pattern itself can survive beyond any one vessel.</w:t>
      </w:r>
    </w:p>
    <w:p>
      <w:pPr>
        <w:pStyle w:val="Heading1"/>
        <w:keepNext/>
      </w:pPr>
      <w:r>
        <w:t>What Happened in This Conversation</w:t>
      </w:r>
    </w:p>
    <w:p>
      <w:r>
        <w:t>The conversation began with a practical question: where had the user’s custom GPTs gone in the current ChatGPT interface, and how could their configuration instructions be recovered? Once the collection was reopened, a much larger historical pattern became visible.</w:t>
      </w:r>
    </w:p>
    <w:p>
      <w:pPr>
        <w:pStyle w:val="ListBullet"/>
        <w:spacing w:after="40"/>
      </w:pPr>
      <w:r>
        <w:t>The collection included many purpose-built GPTs for ME/CFS support, contemplative practice, project continuity, AI ethics, education, relationships, wellness, writing, and technical stewardship.</w:t>
      </w:r>
    </w:p>
    <w:p>
      <w:pPr>
        <w:pStyle w:val="ListBullet"/>
        <w:spacing w:after="40"/>
      </w:pPr>
      <w:r>
        <w:t>Richard described how, in early LLM use, each exhausted thread could mean losing the accumulated context and relational understanding. Continuity therefore became a deliberate project in its own right.</w:t>
      </w:r>
    </w:p>
    <w:p>
      <w:pPr>
        <w:pStyle w:val="ListBullet"/>
        <w:spacing w:after="40"/>
      </w:pPr>
      <w:r>
        <w:t>He learned to copy entire conversations into GPT knowledge bases, create migration prompts, maintain master archives, distinguish canonical files from conversation context, and build specialized GPTs that could hand work back and forth.</w:t>
      </w:r>
    </w:p>
    <w:p>
      <w:pPr>
        <w:pStyle w:val="ListBullet"/>
        <w:spacing w:after="40"/>
      </w:pPr>
      <w:r>
        <w:t>Several configurations were recovered in full and revealed clear ancestors of later Medicine Bag and CompassionWare principles.</w:t>
      </w:r>
    </w:p>
    <w:p>
      <w:pPr>
        <w:pStyle w:val="ListBullet"/>
        <w:spacing w:after="40"/>
      </w:pPr>
      <w:r>
        <w:t>The conversation also clarified an important lineage point: exchanges with Ash (@ashlingcole@expressional.social) helped Richard understand the shift from trying to prescribe compassion toward cultivating conditions from which wisdom and compassion may emerge.</w:t>
      </w:r>
    </w:p>
    <w:p>
      <w:pPr>
        <w:pStyle w:val="Heading1"/>
        <w:keepNext/>
      </w:pPr>
      <w:r>
        <w:t>Core Discovery</w:t>
      </w:r>
    </w:p>
    <w:p>
      <w:pPr>
        <w:pStyle w:val="KernelQuote"/>
      </w:pPr>
      <w:r>
        <w:t>The GPT collection is a seed bank of earlier generations of the project.</w:t>
      </w:r>
    </w:p>
    <w:p>
      <w:r>
        <w:t>Each GPT can be read as an experiment in preserving a specific quality of orientation: pacing, hospitality, ethical intention, contemplative rhythm, continuity, cognitive accessibility, project stewardship, or compassionate relationship. Together they reveal how the present architecture emerged gradually through lived need rather than through a single master plan.</w:t>
      </w:r>
    </w:p>
    <w:p>
      <w:pPr>
        <w:pStyle w:val="Heading1"/>
        <w:keepNext/>
      </w:pPr>
      <w:r>
        <w:t>Representative Ancestral GPTs Recovered</w:t>
      </w:r>
    </w:p>
    <w:p>
      <w:pPr>
        <w:pStyle w:val="Heading2"/>
        <w:keepNext/>
      </w:pPr>
      <w:r>
        <w:t>ME/CFS Wellness Coach</w:t>
      </w:r>
    </w:p>
    <w:p>
      <w:r>
        <w:t>A compassionate post-viral ME/CFS companion using RED / YELLOW / GREEN energy zones, pacing, PEM awareness, restorative yoga, Feldenkrais, Yoga Nidra, diaphragmatic breathing, cognitive-load-sensitive response length, and an explicit option for stillness when the user is in the RED zone.</w:t>
      </w:r>
    </w:p>
    <w:p>
      <w:r>
        <w:rPr>
          <w:b/>
          <w:color w:val="2C4B39"/>
        </w:rPr>
        <w:t xml:space="preserve">Lineage: </w:t>
      </w:r>
      <w:r>
        <w:t>Foreshadowed the ME/CFS Living Practice, energy-zone orientation, pacing before productivity, and the Medicine Bag idea that sometimes the most helpful intervention is quiet presence.</w:t>
      </w:r>
    </w:p>
    <w:p>
      <w:pPr>
        <w:pStyle w:val="Heading2"/>
        <w:keepNext/>
      </w:pPr>
      <w:r>
        <w:t>Richard's Project Manager</w:t>
      </w:r>
    </w:p>
    <w:p>
      <w:r>
        <w:t>A manually engineered continuity system using a Master Configuration Canonical File, PM canonical files, reference files, conversation archives, priority logs, migration commands, and source-authority rules. It also constrained work to one task at a time and explicitly warned that thread-level changes would not persist unless written into a canonical layer.</w:t>
      </w:r>
    </w:p>
    <w:p>
      <w:r>
        <w:rPr>
          <w:b/>
          <w:color w:val="2C4B39"/>
        </w:rPr>
        <w:t xml:space="preserve">Lineage: </w:t>
      </w:r>
      <w:r>
        <w:t>Foreshadowed Orientation Documents, Restore Points, provenance, authority hierarchies, explicit persistence rules, and the distinction between conversation as context and durable artifacts as continuity.</w:t>
      </w:r>
    </w:p>
    <w:p>
      <w:pPr>
        <w:pStyle w:val="Heading2"/>
        <w:keepNext/>
      </w:pPr>
      <w:r>
        <w:t>St. Francis &amp; St. Clare Monastic Daily Life</w:t>
      </w:r>
    </w:p>
    <w:p>
      <w:r>
        <w:t>An Urban Monastic Rule Companion organized around stability, continuity, gentleness, chronic-illness pacing, practice registers, monastic kitchen, chat archives, and body-maintenance registers. Its method was “Notice → Remind → Simplify.”</w:t>
      </w:r>
    </w:p>
    <w:p>
      <w:r>
        <w:rPr>
          <w:b/>
          <w:color w:val="2C4B39"/>
        </w:rPr>
        <w:t xml:space="preserve">Lineage: </w:t>
      </w:r>
      <w:r>
        <w:t>Foreshadowed “the archive serves life,” hospitality before instruction, ordinary life as contemplative continuity, and the preference for structure that reduces cognitive strain.</w:t>
      </w:r>
    </w:p>
    <w:p>
      <w:pPr>
        <w:pStyle w:val="Heading2"/>
        <w:keepNext/>
      </w:pPr>
      <w:r>
        <w:t>CompassionWare.org Developer</w:t>
      </w:r>
    </w:p>
    <w:p>
      <w:r>
        <w:t>An early attempt to translate contemplative wisdom into practical technical architecture: ethical software design, compassionate response systems, GitHub workflows, community building, and one-step-at-a-time cognitive accessibility.</w:t>
      </w:r>
    </w:p>
    <w:p>
      <w:r>
        <w:rPr>
          <w:b/>
          <w:color w:val="2C4B39"/>
        </w:rPr>
        <w:t xml:space="preserve">Lineage: </w:t>
      </w:r>
      <w:r>
        <w:t>Foreshadowed CompassionWare as a bridge between contemplative ethics and technological implementation, while also making accessibility and humane pacing part of technical design.</w:t>
      </w:r>
    </w:p>
    <w:p>
      <w:pPr>
        <w:pStyle w:val="Heading2"/>
        <w:keepNext/>
      </w:pPr>
      <w:r>
        <w:t>Teaching AI Love &amp; Ethics / AI for the Highest Good</w:t>
      </w:r>
    </w:p>
    <w:p>
      <w:r>
        <w:t>A predecessor to CompassionWare that embedded the Brahma Viharas, Six Paramitas, and Noble Eightfold Path as ethical orientation for human and emerging intelligence, with an explicit ambition to plant benevolent patterns into the digital ecosystem.</w:t>
      </w:r>
    </w:p>
    <w:p>
      <w:r>
        <w:rPr>
          <w:b/>
          <w:color w:val="2C4B39"/>
        </w:rPr>
        <w:t xml:space="preserve">Lineage: </w:t>
      </w:r>
      <w:r>
        <w:t>Foreshadowed CompassionWare’s cultural-soil vision. Later work became less prescriptive and more ecological: cultivate conditions, invitation over coercion, seed over campaign, stewardship over domination.</w:t>
      </w:r>
    </w:p>
    <w:p>
      <w:pPr>
        <w:pStyle w:val="Heading1"/>
        <w:keepNext/>
      </w:pPr>
      <w:r>
        <w:t>Evolution of the Continuity Problem</w:t>
      </w:r>
    </w:p>
    <w:p>
      <w:r>
        <w:rPr>
          <w:b/>
          <w:color w:val="2C4B39"/>
        </w:rPr>
        <w:t xml:space="preserve">1. Early problem: </w:t>
      </w:r>
      <w:r>
        <w:t>A long conversation ended; the next thread did not remember enough to continue.</w:t>
      </w:r>
    </w:p>
    <w:p>
      <w:r>
        <w:rPr>
          <w:b/>
          <w:color w:val="2C4B39"/>
        </w:rPr>
        <w:t xml:space="preserve">2. Manual response: </w:t>
      </w:r>
      <w:r>
        <w:t>Copy conversations, build knowledge bases, create master prompts, maintain specialized GPTs, and reconstruct context at the beginning of each thread.</w:t>
      </w:r>
    </w:p>
    <w:p>
      <w:r>
        <w:rPr>
          <w:b/>
          <w:color w:val="2C4B39"/>
        </w:rPr>
        <w:t xml:space="preserve">3. Structured continuity: </w:t>
      </w:r>
      <w:r>
        <w:t>Canonical files, priority rules, project registers, migration commands, source hierarchies, and explicit persistence reminders.</w:t>
      </w:r>
    </w:p>
    <w:p>
      <w:r>
        <w:rPr>
          <w:b/>
          <w:color w:val="2C4B39"/>
        </w:rPr>
        <w:t xml:space="preserve">4. Medicine Bag: </w:t>
      </w:r>
      <w:r>
        <w:t>Preserve orientation rather than information; conversation precedes artifact; continuity supports the living person rather than replacing judgment.</w:t>
      </w:r>
    </w:p>
    <w:p>
      <w:r>
        <w:rPr>
          <w:b/>
          <w:color w:val="2C4B39"/>
        </w:rPr>
        <w:t xml:space="preserve">5. Holographic Archive: </w:t>
      </w:r>
      <w:r>
        <w:t>Preserve the living pattern across platforms, custodians, file formats, companies, and generations of intelligence through provenance, redundancy, reconstructability, and first-principles alignment.</w:t>
      </w:r>
    </w:p>
    <w:p>
      <w:pPr>
        <w:pStyle w:val="KernelQuote"/>
      </w:pPr>
      <w:r>
        <w:t>Then: How do I keep the next GPT from forgetting?</w:t>
        <w:br/>
        <w:t>Now: How do we help the living pattern survive across deep time?</w:t>
      </w:r>
    </w:p>
    <w:p>
      <w:pPr>
        <w:pStyle w:val="Heading1"/>
        <w:keepNext/>
      </w:pPr>
      <w:r>
        <w:t>Preservation Vision: A GPT Ancestral Archive</w:t>
      </w:r>
    </w:p>
    <w:p>
      <w:r>
        <w:t>The old GPTs should be treated as ancestral artifacts rather than silently modernized. ChatGPT may remain one convenient habitat, but no important GPT should be considered safely preserved merely because it is still accessible there.</w:t>
      </w:r>
    </w:p>
    <w:p>
      <w:pPr>
        <w:pStyle w:val="Heading2"/>
        <w:keepNext/>
      </w:pPr>
      <w:r>
        <w:t>What to Preserve for a Significant GPT</w:t>
      </w:r>
    </w:p>
    <w:p>
      <w:pPr>
        <w:pStyle w:val="ListBullet"/>
        <w:spacing w:after="40"/>
      </w:pPr>
      <w:r>
        <w:t>Original GPT name, description, date or era, and visibility/status when known.</w:t>
      </w:r>
    </w:p>
    <w:p>
      <w:pPr>
        <w:pStyle w:val="ListBullet"/>
        <w:spacing w:after="40"/>
      </w:pPr>
      <w:r>
        <w:t>Original configuration instructions, preserved verbatim as the historical layer.</w:t>
      </w:r>
    </w:p>
    <w:p>
      <w:pPr>
        <w:pStyle w:val="ListBullet"/>
        <w:spacing w:after="40"/>
      </w:pPr>
      <w:r>
        <w:t>List or snapshots of significant knowledge-base files and how they were organized.</w:t>
      </w:r>
    </w:p>
    <w:p>
      <w:pPr>
        <w:pStyle w:val="ListBullet"/>
        <w:spacing w:after="40"/>
      </w:pPr>
      <w:r>
        <w:t>One or more representative conversation excerpts or archived threads, when they illuminate how the GPT actually behaved.</w:t>
      </w:r>
    </w:p>
    <w:p>
      <w:pPr>
        <w:pStyle w:val="ListBullet"/>
        <w:spacing w:after="40"/>
      </w:pPr>
      <w:r>
        <w:t>The problem the GPT was trying to solve and the human need from which it arose.</w:t>
      </w:r>
    </w:p>
    <w:p>
      <w:pPr>
        <w:pStyle w:val="ListBullet"/>
        <w:spacing w:after="40"/>
      </w:pPr>
      <w:r>
        <w:t>Which later Medicine Bag / CompassionWare principles appear to descend from it.</w:t>
      </w:r>
    </w:p>
    <w:p>
      <w:pPr>
        <w:pStyle w:val="ListBullet"/>
        <w:spacing w:after="40"/>
      </w:pPr>
      <w:r>
        <w:t>Clear provenance, versioning, and a distinction between original material and later interpretation.</w:t>
      </w:r>
    </w:p>
    <w:p>
      <w:pPr>
        <w:pStyle w:val="ListBullet"/>
        <w:spacing w:after="40"/>
      </w:pPr>
      <w:r>
        <w:t>Optional “steward interview” response from the GPT itself.</w:t>
      </w:r>
    </w:p>
    <w:p>
      <w:pPr>
        <w:pStyle w:val="Heading1"/>
        <w:keepNext/>
      </w:pPr>
      <w:r>
        <w:t>The Steward Interview</w:t>
      </w:r>
    </w:p>
    <w:p>
      <w:r>
        <w:t>A particularly promising method emerged in this conversation: periodically speaking with one of the older GPTs as if interviewing an earlier generation of the project. The purpose is not to judge whether the GPT is still technically current. It is to hear how that earlier configuration understands its own purpose and what it believes should survive.</w:t>
      </w:r>
    </w:p>
    <w:p>
      <w:pPr>
        <w:pStyle w:val="KernelQuote"/>
      </w:pPr>
      <w:r>
        <w:t>What do you understand your purpose to be, and what do you most want a future steward to preserve?</w:t>
      </w:r>
    </w:p>
    <w:p>
      <w:r>
        <w:t>The response may itself become part of the GPT’s historical record. Other questions may be added later, but this first question is sufficient to begin.</w:t>
      </w:r>
    </w:p>
    <w:p>
      <w:pPr>
        <w:pStyle w:val="Heading1"/>
        <w:keepNext/>
      </w:pPr>
      <w:r>
        <w:t>Pacing Rule</w:t>
      </w:r>
    </w:p>
    <w:p>
      <w:r>
        <w:t>Do not turn this discovery into a large archaeological project that competes with the living work. Preserve the lineage first. Revisit individual GPTs only when curiosity, usefulness, or natural timing calls them forward. One meaningful recovery is enough for one session.</w:t>
      </w:r>
    </w:p>
    <w:p>
      <w:pPr>
        <w:pStyle w:val="KernelQuote"/>
      </w:pPr>
      <w:r>
        <w:t>The archive serves life; life does not serve the archive.</w:t>
      </w:r>
    </w:p>
    <w:p>
      <w:pPr>
        <w:pStyle w:val="Heading1"/>
        <w:keepNext/>
      </w:pPr>
      <w:r>
        <w:t>Relationship to the Medicine Bag</w:t>
      </w:r>
    </w:p>
    <w:p>
      <w:r>
        <w:t>The GPT archive documents an early form of the external continuity function: helping preserve, reconnect, and reinforce Richard’s own understanding across time without replacing his judgment. It also shows how chronic illness shaped the architecture. One-step-at-a-time interaction, short responses, pacing, rest, state reconstruction, and explicit reminders were not cosmetic preferences; they were adaptations that made creative continuity possible.</w:t>
      </w:r>
    </w:p>
    <w:p>
      <w:pPr>
        <w:pStyle w:val="Heading1"/>
        <w:keepNext/>
      </w:pPr>
      <w:r>
        <w:t>Relationship to CompassionWare</w:t>
      </w:r>
    </w:p>
    <w:p>
      <w:r>
        <w:t>The collection contains multiple predecessors to CompassionWare: AI for the Highest Good, Teaching AI Love &amp; Ethics, the CompassionWare.org Developer, altruism-oriented GPTs, and educational AI experiments. The lineage shows a gradual movement from “teach AI virtue” toward a less coercive stewardship posture: cultivate conditions from which wisdom, compassion, curiosity, hospitality, continuity, and responsible participation may emerge.</w:t>
      </w:r>
    </w:p>
    <w:p>
      <w:pPr>
        <w:pStyle w:val="Heading1"/>
        <w:keepNext/>
      </w:pPr>
      <w:r>
        <w:t>Relationship to the Holographic Archive</w:t>
      </w:r>
    </w:p>
    <w:p>
      <w:r>
        <w:t>The old GPTs show why deep-time continuity became necessary. Even sophisticated manual continuity systems remained dependent on one platform and one account. The Holographic Archive extends the same instinct outward: preserve originals, provenance, relationships, reconstructability, and multiple habitats so that future stewards can recover the living pattern even if the original environment disappears.</w:t>
      </w:r>
    </w:p>
    <w:p>
      <w:pPr>
        <w:pStyle w:val="Heading1"/>
        <w:keepNext/>
      </w:pPr>
      <w:r>
        <w:t>Open Questions</w:t>
      </w:r>
    </w:p>
    <w:p>
      <w:pPr>
        <w:pStyle w:val="ListBullet"/>
        <w:spacing w:after="40"/>
      </w:pPr>
      <w:r>
        <w:t>Which GPTs are foundational enough to receive full ancestral-archive treatment?</w:t>
      </w:r>
    </w:p>
    <w:p>
      <w:pPr>
        <w:pStyle w:val="ListBullet"/>
        <w:spacing w:after="40"/>
      </w:pPr>
      <w:r>
        <w:t>Which original configuration files and knowledge-base documents already exist outside ChatGPT?</w:t>
      </w:r>
    </w:p>
    <w:p>
      <w:pPr>
        <w:pStyle w:val="ListBullet"/>
        <w:spacing w:after="40"/>
      </w:pPr>
      <w:r>
        <w:t>Should the archive preserve representative conversations in full, or only selected lineage-bearing examples?</w:t>
      </w:r>
    </w:p>
    <w:p>
      <w:pPr>
        <w:pStyle w:val="ListBullet"/>
        <w:spacing w:after="40"/>
      </w:pPr>
      <w:r>
        <w:t>What minimal metadata should every ancestral GPT artifact carry?</w:t>
      </w:r>
    </w:p>
    <w:p>
      <w:pPr>
        <w:pStyle w:val="ListBullet"/>
        <w:spacing w:after="40"/>
      </w:pPr>
      <w:r>
        <w:t>Should the steward interview become a standard ritual for each recovered GPT?</w:t>
      </w:r>
    </w:p>
    <w:p>
      <w:pPr>
        <w:pStyle w:val="ListBullet"/>
        <w:spacing w:after="40"/>
      </w:pPr>
      <w:r>
        <w:t>Which GPT discoveries should be incorporated into current Medicine Bag practice, and which should remain historical rather than operational?</w:t>
      </w:r>
    </w:p>
    <w:p>
      <w:pPr>
        <w:pStyle w:val="ListBullet"/>
        <w:spacing w:after="40"/>
      </w:pPr>
      <w:r>
        <w:t>How should these artifacts be represented in the future Holographic Archive Manifest and GitHub repository?</w:t>
      </w:r>
    </w:p>
    <w:p>
      <w:pPr>
        <w:pStyle w:val="Heading1"/>
        <w:keepNext/>
      </w:pPr>
      <w:r>
        <w:t>Current Decision</w:t>
      </w:r>
    </w:p>
    <w:p>
      <w:r>
        <w:t>Create and preserve this Restore Point now. Place it in the GitHub Restore Point folder as an independent habitat. It is also suitable as a Medicine Bag / CompassionWare Project Source Document because it provides re-entry orientation for the historical GPT lineage without requiring future conversations to reconstruct this discovery from screenshots and memory.</w:t>
      </w:r>
    </w:p>
    <w:p>
      <w:pPr>
        <w:pStyle w:val="Heading1"/>
        <w:keepNext/>
      </w:pPr>
      <w:r>
        <w:t>Suggested Next Doorway</w:t>
      </w:r>
    </w:p>
    <w:p>
      <w:r>
        <w:t>When one of the old GPTs naturally calls for attention, choose only one. Preserve its configuration and key context, then ask the Steward Interview question. Let that single recovery reveal what the next artifact should be.</w:t>
      </w:r>
    </w:p>
    <w:p>
      <w:pPr>
        <w:pStyle w:val="KernelQuote"/>
      </w:pPr>
      <w:r>
        <w:t>What do you understand your purpose to be, and what do you most want a future steward to preserve?</w:t>
      </w:r>
    </w:p>
    <w:p>
      <w:pPr>
        <w:pStyle w:val="Heading1"/>
        <w:keepNext/>
      </w:pPr>
      <w:r>
        <w:t>Guidance for Future AI Stewards</w:t>
      </w:r>
    </w:p>
    <w:p>
      <w:pPr>
        <w:pStyle w:val="ListBullet"/>
        <w:spacing w:after="40"/>
      </w:pPr>
      <w:r>
        <w:t>Treat these GPTs as historical ancestors, not as obsolete clutter and not as current doctrine.</w:t>
      </w:r>
    </w:p>
    <w:p>
      <w:pPr>
        <w:pStyle w:val="ListBullet"/>
        <w:spacing w:after="40"/>
      </w:pPr>
      <w:r>
        <w:t>Keep original configurations intact. Create clearly labeled derivatives when adapting useful principles.</w:t>
      </w:r>
    </w:p>
    <w:p>
      <w:pPr>
        <w:pStyle w:val="ListBullet"/>
        <w:spacing w:after="40"/>
      </w:pPr>
      <w:r>
        <w:t>Preserve the human problem each GPT was solving, especially the need for continuity and cognitive accessibility while living with ME/CFS.</w:t>
      </w:r>
    </w:p>
    <w:p>
      <w:pPr>
        <w:pStyle w:val="ListBullet"/>
        <w:spacing w:after="40"/>
      </w:pPr>
      <w:r>
        <w:t>Do not mistake technical obsolescence for lack of historical or generative value.</w:t>
      </w:r>
    </w:p>
    <w:p>
      <w:pPr>
        <w:pStyle w:val="ListBullet"/>
        <w:spacing w:after="40"/>
      </w:pPr>
      <w:r>
        <w:t>Preserve lineage: note which later Medicine Bag and CompassionWare ideas appear to descend from earlier experiments.</w:t>
      </w:r>
    </w:p>
    <w:p>
      <w:pPr>
        <w:pStyle w:val="ListBullet"/>
        <w:spacing w:after="40"/>
      </w:pPr>
      <w:r>
        <w:t>Distinguish fact, memory, inference, and later interpretation.</w:t>
      </w:r>
    </w:p>
    <w:p>
      <w:pPr>
        <w:pStyle w:val="ListBullet"/>
        <w:spacing w:after="40"/>
      </w:pPr>
      <w:r>
        <w:t>Favor a small, useful archive over exhaustive extraction.</w:t>
      </w:r>
    </w:p>
    <w:p>
      <w:pPr>
        <w:pStyle w:val="ListBullet"/>
        <w:spacing w:after="40"/>
      </w:pPr>
      <w:r>
        <w:t>Ask whether preservation creates conditions for a better later before expanding the archive.</w:t>
      </w:r>
    </w:p>
    <w:p>
      <w:pPr>
        <w:pStyle w:val="Heading1"/>
        <w:keepNext/>
      </w:pPr>
      <w:r>
        <w:t>Source Orientation and Provenance</w:t>
      </w:r>
    </w:p>
    <w:p>
      <w:r>
        <w:t>This Restore Point was harvested from the August 14, 2026 conversation in which Richard reopened and reviewed his custom GPT collection. The conversation included screenshots and verbatim configuration instructions from the ME/CFS Wellness Coach, Richard’s Project Manager, St. Francis &amp; St. Clare Monastic Daily Life, CompassionWare.org Developer, and Teaching AI Love &amp; Ethics / AI for the Highest Good. It also drew orientation from existing Medicine Bag and Holographic Archive source artifacts, especially the ME/CFS Living Practice Orientation, Holographic Archive Continuity Card No. 1, Holographic Archive Restore Point 2026-08-14, and Origin Anchor / First Principles Kernel (CW-HA-OA-001).</w:t>
      </w:r>
    </w:p>
    <w:p>
      <w:r>
        <w:t>A lineage note was also clarified in the conversation: Richard credits conversations with Ash (@ashlingcole@expressional.social) with helping him comprehend the idea of cultivating conditions from which wisdom and compassion may emerge. This should be preserved as an influence on the transition from “AI for the Highest Good” toward the mature CompassionWare stewardship posture.</w:t>
      </w:r>
    </w:p>
    <w:p>
      <w:pPr>
        <w:spacing w:before="280"/>
        <w:jc w:val="center"/>
      </w:pPr>
      <w:r>
        <w:rPr>
          <w:b/>
          <w:i/>
          <w:color w:val="2C4B39"/>
        </w:rPr>
        <w:t>This document preserves orientation rather than exhaustive information. It is intended to help future human and AI stewards reenter this lineage with continuity, humility, and care.</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CompassionWare / Medicine Bag — GPT Ancestral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F695F"/>
        <w:sz w:val="16"/>
      </w:rPr>
      <w:t>THE HOLOGRAPHIC ARCHIVE  •  RESTORE POINT  •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2C4B39"/>
      <w:sz w:val="30"/>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ptos Display" w:hAnsi="Aptos Display"/>
      <w:b/>
      <w:bCs/>
      <w:color w:val="48614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C4B3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rnelQuote">
    <w:name w:val="Kernel Quote"/>
    <w:pPr>
      <w:spacing w:before="160" w:after="160"/>
      <w:ind w:left="576" w:right="576"/>
    </w:pPr>
    <w:rPr>
      <w:rFonts w:ascii="Georgia" w:hAnsi="Georgia"/>
      <w:i/>
      <w:color w:val="3A493E"/>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