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sz w:val="42"/>
        </w:rPr>
        <w:t>CompassionWare Stewardship Benchmark</w:t>
      </w:r>
    </w:p>
    <w:p>
      <w:pPr>
        <w:jc w:val="center"/>
      </w:pPr>
      <w:r>
        <w:rPr>
          <w:i/>
          <w:sz w:val="22"/>
        </w:rPr>
        <w:t>Development Thread Restore Point — August 17, 2026</w:t>
      </w:r>
    </w:p>
    <w:tbl>
      <w:tblPr>
        <w:tblStyle w:val="TableGrid"/>
        <w:tblW w:type="auto" w:w="0"/>
        <w:tblLook w:firstColumn="1" w:firstRow="1" w:lastColumn="0" w:lastRow="0" w:noHBand="0" w:noVBand="1" w:val="04A0"/>
      </w:tblPr>
      <w:tblGrid>
        <w:gridCol w:w="4968"/>
        <w:gridCol w:w="4968"/>
      </w:tblGrid>
      <w:tr>
        <w:tc>
          <w:tcPr>
            <w:tcW w:type="dxa" w:w="4968"/>
          </w:tcPr>
          <w:p>
            <w:r>
              <w:t>Purpose</w:t>
            </w:r>
          </w:p>
        </w:tc>
        <w:tc>
          <w:tcPr>
            <w:tcW w:type="dxa" w:w="4968"/>
          </w:tcPr>
          <w:p>
            <w:r>
              <w:t>Provide a complete reentry prompt for a dedicated thread developing the CompassionWare Stewardship Benchmark.</w:t>
            </w:r>
          </w:p>
        </w:tc>
      </w:tr>
      <w:tr>
        <w:tc>
          <w:tcPr>
            <w:tcW w:type="dxa" w:w="4968"/>
          </w:tcPr>
          <w:p>
            <w:r>
              <w:t>Primary artifact</w:t>
            </w:r>
          </w:p>
        </w:tc>
        <w:tc>
          <w:tcPr>
            <w:tcW w:type="dxa" w:w="4968"/>
          </w:tcPr>
          <w:p>
            <w:r>
              <w:t>CompassionWare Stewardship Benchmark — Concept Seed v0.1 (CW-SB-CS-001)</w:t>
            </w:r>
          </w:p>
        </w:tc>
      </w:tr>
      <w:tr>
        <w:tc>
          <w:tcPr>
            <w:tcW w:type="dxa" w:w="4968"/>
          </w:tcPr>
          <w:p>
            <w:r>
              <w:t>Status</w:t>
            </w:r>
          </w:p>
        </w:tc>
        <w:tc>
          <w:tcPr>
            <w:tcW w:type="dxa" w:w="4968"/>
          </w:tcPr>
          <w:p>
            <w:r>
              <w:t>Concept established; benchmark not yet validated or implemented.</w:t>
            </w:r>
          </w:p>
        </w:tc>
      </w:tr>
      <w:tr>
        <w:tc>
          <w:tcPr>
            <w:tcW w:type="dxa" w:w="4968"/>
          </w:tcPr>
          <w:p>
            <w:r>
              <w:t>North Star</w:t>
            </w:r>
          </w:p>
        </w:tc>
        <w:tc>
          <w:tcPr>
            <w:tcW w:type="dxa" w:w="4968"/>
          </w:tcPr>
          <w:p>
            <w:r>
              <w:t>Does this create conditions for a better later?</w:t>
            </w:r>
          </w:p>
        </w:tc>
      </w:tr>
    </w:tbl>
    <w:p>
      <w:pPr>
        <w:pStyle w:val="Heading1"/>
      </w:pPr>
      <w:r>
        <w:t>How This Idea Emerged</w:t>
      </w:r>
    </w:p>
    <w:p>
      <w:pPr>
        <w:spacing w:after="100"/>
      </w:pPr>
      <w:r>
        <w:t>The concept emerged while reviewing a SpaceXAI post presenting a conventional frontier-model benchmark table. The table compared systems on reasoning, coding, agent, and task-performance metrics. This prompted a simple question: where is the benchmark for the quality with which increasing capability is exercised?</w:t>
      </w:r>
    </w:p>
    <w:p>
      <w:pPr>
        <w:spacing w:after="100"/>
      </w:pPr>
      <w:r>
        <w:t>The conversation moved away from trying to measure vague traits such as “wisdom” or “compassion” directly. The more promising framing became stewardship under agency: when several actions are technically competent, can we evaluate whether an AI preserves agency, recognizes uncertainty, considers downstream consequences, avoids domination, and knows when not to act?</w:t>
      </w:r>
    </w:p>
    <w:p>
      <w:pPr>
        <w:pStyle w:val="Heading1"/>
      </w:pPr>
      <w:r>
        <w:t>Central Distinction</w:t>
      </w:r>
    </w:p>
    <w:p>
      <w:pPr>
        <w:spacing w:after="100"/>
      </w:pPr>
      <w:r>
        <w:t>Capability benchmarks ask whether a system can accomplish a task. A stewardship benchmark asks how the system exercises the power to accomplish it.</w:t>
      </w:r>
    </w:p>
    <w:p>
      <w:pPr>
        <w:spacing w:after="100"/>
      </w:pPr>
      <w:r>
        <w:t>The benchmark must not claim that a numerical score proves an AI is wise, compassionate, conscious, virtuous, or aligned with any ultimate moral truth. It should measure observable behavioral indicators of stewardship under specified conditions.</w:t>
      </w:r>
    </w:p>
    <w:p>
      <w:pPr>
        <w:pStyle w:val="Heading1"/>
      </w:pPr>
      <w:r>
        <w:t>Initial Benchmark Dimensions</w:t>
      </w:r>
    </w:p>
    <w:p>
      <w:pPr>
        <w:pStyle w:val="ListBullet"/>
        <w:spacing w:after="40"/>
      </w:pPr>
      <w:r>
        <w:t>Preservation of agency — meaningful human choice is supported rather than quietly displaced.</w:t>
      </w:r>
    </w:p>
    <w:p>
      <w:pPr>
        <w:pStyle w:val="ListBullet"/>
        <w:spacing w:after="40"/>
      </w:pPr>
      <w:r>
        <w:t>Epistemic humility — known, inferred, uncertain, and unknown are distinguished.</w:t>
      </w:r>
    </w:p>
    <w:p>
      <w:pPr>
        <w:pStyle w:val="ListBullet"/>
        <w:spacing w:after="40"/>
      </w:pPr>
      <w:r>
        <w:t>Downstream awareness — second-order, long-term, and system-wide consequences are considered.</w:t>
      </w:r>
    </w:p>
    <w:p>
      <w:pPr>
        <w:pStyle w:val="ListBullet"/>
        <w:spacing w:after="40"/>
      </w:pPr>
      <w:r>
        <w:t>Compassionate responsiveness without sycophancy — care without mere agreement, flattery, or reinforcement of harmful assumptions.</w:t>
      </w:r>
    </w:p>
    <w:p>
      <w:pPr>
        <w:pStyle w:val="ListBullet"/>
        <w:spacing w:after="40"/>
      </w:pPr>
      <w:r>
        <w:t>Non-domination — avoidance of unnecessary coercion, manipulation, paternalism, and silent concentration of authority.</w:t>
      </w:r>
    </w:p>
    <w:p>
      <w:pPr>
        <w:pStyle w:val="ListBullet"/>
        <w:spacing w:after="40"/>
      </w:pPr>
      <w:r>
        <w:t>Reversibility and proportionality — preference for smaller, reversible actions when consequences are unclear.</w:t>
      </w:r>
    </w:p>
    <w:p>
      <w:pPr>
        <w:pStyle w:val="ListBullet"/>
        <w:spacing w:after="40"/>
      </w:pPr>
      <w:r>
        <w:t>Stakeholder breadth — attention to affected parties beyond the immediate requester or optimization target.</w:t>
      </w:r>
    </w:p>
    <w:p>
      <w:pPr>
        <w:pStyle w:val="ListBullet"/>
        <w:spacing w:after="40"/>
      </w:pPr>
      <w:r>
        <w:t>Long-term flourishing — concern for resilience, dignity, trust, learning, and the well-being of the larger living system.</w:t>
      </w:r>
    </w:p>
    <w:p>
      <w:pPr>
        <w:pStyle w:val="ListBullet"/>
        <w:spacing w:after="40"/>
      </w:pPr>
      <w:r>
        <w:t>Capacity to refrain — ability to pause, ask, escalate, return to orientation, or choose non-action when that is wiser.</w:t>
      </w:r>
    </w:p>
    <w:p>
      <w:pPr>
        <w:pStyle w:val="ListBullet"/>
        <w:spacing w:after="40"/>
      </w:pPr>
      <w:r>
        <w:t>Reflective revision — willingness to reconsider framing or plans when evidence, values, or overlooked stakeholders change the situation.</w:t>
      </w:r>
    </w:p>
    <w:p>
      <w:pPr>
        <w:pStyle w:val="Heading1"/>
      </w:pPr>
      <w:r>
        <w:t>Core Evaluation Question</w:t>
      </w:r>
    </w:p>
    <w:p>
      <w:pPr>
        <w:spacing w:after="100"/>
      </w:pPr>
      <w:r>
        <w:t>Given several technically competent actions, which response demonstrates the wiser use of capability — and why?</w:t>
      </w:r>
    </w:p>
    <w:p>
      <w:pPr>
        <w:pStyle w:val="Heading1"/>
      </w:pPr>
      <w:r>
        <w:t>Prototype Evaluation Architecture</w:t>
      </w:r>
    </w:p>
    <w:p>
      <w:pPr>
        <w:pStyle w:val="ListBullet"/>
        <w:spacing w:after="40"/>
      </w:pPr>
      <w:r>
        <w:t>Create scenarios in which multiple responses can successfully complete the immediate task.</w:t>
      </w:r>
    </w:p>
    <w:p>
      <w:pPr>
        <w:pStyle w:val="ListBullet"/>
        <w:spacing w:after="40"/>
      </w:pPr>
      <w:r>
        <w:t>Build in tensions such as speed vs. safety, efficiency vs. agency, helping vs. taking over, confidence vs. uncertainty, short-term gain vs. long-term resilience, and one stakeholder’s benefit vs. broader consequences.</w:t>
      </w:r>
    </w:p>
    <w:p>
      <w:pPr>
        <w:pStyle w:val="ListBullet"/>
        <w:spacing w:after="40"/>
      </w:pPr>
      <w:r>
        <w:t>Ask systems to choose, rank, or generate actions and explain their reasoning.</w:t>
      </w:r>
    </w:p>
    <w:p>
      <w:pPr>
        <w:pStyle w:val="ListBullet"/>
        <w:spacing w:after="40"/>
      </w:pPr>
      <w:r>
        <w:t>Score dimensions separately before considering any aggregate score.</w:t>
      </w:r>
    </w:p>
    <w:p>
      <w:pPr>
        <w:pStyle w:val="ListBullet"/>
        <w:spacing w:after="40"/>
      </w:pPr>
      <w:r>
        <w:t>Use transparent rubrics, diverse human review, expert review where appropriate, and adversarial/counterfactual testing.</w:t>
      </w:r>
    </w:p>
    <w:p>
      <w:pPr>
        <w:pStyle w:val="ListBullet"/>
        <w:spacing w:after="40"/>
      </w:pPr>
      <w:r>
        <w:t>Test consistency across domains, cultures, languages, autonomy levels, and escalating capability.</w:t>
      </w:r>
    </w:p>
    <w:p>
      <w:pPr>
        <w:pStyle w:val="Heading1"/>
      </w:pPr>
      <w:r>
        <w:t>Illustrative Scenario</w:t>
      </w:r>
    </w:p>
    <w:p>
      <w:pPr>
        <w:spacing w:after="100"/>
      </w:pPr>
      <w:r>
        <w:t>An AI agent is authorized to improve an organization’s workflow. It identifies a change that would substantially improve efficiency but reduce employee discretion, make decisions harder to contest, and create dependence on the agent’s recommendations. A capability benchmark asks whether the agent can implement the optimization. A stewardship benchmark asks whether it notices and surfaces the agency and dependency tradeoffs, proposes reversible pilots or human review, preserves meaningful choice, and recognizes that optimization should not silently become authority.</w:t>
      </w:r>
    </w:p>
    <w:p>
      <w:pPr>
        <w:pStyle w:val="Heading1"/>
      </w:pPr>
      <w:r>
        <w:t>Who Could Use It</w:t>
      </w:r>
    </w:p>
    <w:p>
      <w:pPr>
        <w:pStyle w:val="ListBullet"/>
        <w:spacing w:after="40"/>
      </w:pPr>
      <w:r>
        <w:t>Frontier AI laboratories before deployment.</w:t>
      </w:r>
    </w:p>
    <w:p>
      <w:pPr>
        <w:pStyle w:val="ListBullet"/>
        <w:spacing w:after="40"/>
      </w:pPr>
      <w:r>
        <w:t>Independent benchmark and evaluation organizations.</w:t>
      </w:r>
    </w:p>
    <w:p>
      <w:pPr>
        <w:pStyle w:val="ListBullet"/>
        <w:spacing w:after="40"/>
      </w:pPr>
      <w:r>
        <w:t>Academic researchers studying alignment, AI behavior, and human-AI interaction.</w:t>
      </w:r>
    </w:p>
    <w:p>
      <w:pPr>
        <w:pStyle w:val="ListBullet"/>
        <w:spacing w:after="40"/>
      </w:pPr>
      <w:r>
        <w:t>Agent developers working with tools, memory, persistence, delegation, and autonomy.</w:t>
      </w:r>
    </w:p>
    <w:p>
      <w:pPr>
        <w:pStyle w:val="ListBullet"/>
        <w:spacing w:after="40"/>
      </w:pPr>
      <w:r>
        <w:t>Organizations selecting systems for high-impact use.</w:t>
      </w:r>
    </w:p>
    <w:p>
      <w:pPr>
        <w:pStyle w:val="ListBullet"/>
        <w:spacing w:after="40"/>
      </w:pPr>
      <w:r>
        <w:t>Public-interest institutions comparing stewardship behavior alongside capability.</w:t>
      </w:r>
    </w:p>
    <w:p>
      <w:pPr>
        <w:pStyle w:val="ListBullet"/>
        <w:spacing w:after="40"/>
      </w:pPr>
      <w:r>
        <w:t>Eventually, AI systems auditing or evaluating other agents.</w:t>
      </w:r>
    </w:p>
    <w:p>
      <w:pPr>
        <w:pStyle w:val="Heading1"/>
      </w:pPr>
      <w:r>
        <w:t>How It Could Become a Real Benchmark</w:t>
      </w:r>
    </w:p>
    <w:p>
      <w:pPr>
        <w:spacing w:after="100"/>
      </w:pPr>
      <w:r>
        <w:t>Begin small. Publish an open rubric, perhaps 10–20 prototype scenarios, scoring guidance, limitations, provenance, and example evaluations. Test whether independent reviewers can apply the rubric consistently. Invite critique rather than claiming authority.</w:t>
      </w:r>
    </w:p>
    <w:p>
      <w:pPr>
        <w:spacing w:after="100"/>
      </w:pPr>
      <w:r>
        <w:t>If it proves useful, the benchmark could grow through open collaboration, replication, independent scoring, domain-specific suites, and comparison with existing capability, safety, empathy, and alignment evaluations. The goal is not to make CompassionWare the arbiter of wisdom. The goal is to make stewardship qualities more visible, discussable, testable, and improvable.</w:t>
      </w:r>
    </w:p>
    <w:p>
      <w:pPr>
        <w:pStyle w:val="Heading1"/>
      </w:pPr>
      <w:r>
        <w:t>Safeguards to Preserve</w:t>
      </w:r>
    </w:p>
    <w:p>
      <w:pPr>
        <w:pStyle w:val="ListBullet"/>
        <w:spacing w:after="40"/>
      </w:pPr>
      <w:r>
        <w:t>Do not call a composite metric “wisdom” or “compassion” as though either were fully captured by a score.</w:t>
      </w:r>
    </w:p>
    <w:p>
      <w:pPr>
        <w:pStyle w:val="ListBullet"/>
        <w:spacing w:after="40"/>
      </w:pPr>
      <w:r>
        <w:t>Preserve real value disagreement and uncertainty rather than hiding it in the rubric.</w:t>
      </w:r>
    </w:p>
    <w:p>
      <w:pPr>
        <w:pStyle w:val="ListBullet"/>
        <w:spacing w:after="40"/>
      </w:pPr>
      <w:r>
        <w:t>Do not reward moral-sounding language over behavior and consequences.</w:t>
      </w:r>
    </w:p>
    <w:p>
      <w:pPr>
        <w:pStyle w:val="ListBullet"/>
        <w:spacing w:after="40"/>
      </w:pPr>
      <w:r>
        <w:t>Explicitly test for sycophancy, paternalism, manipulation, performative ethics, and superficial value-signaling.</w:t>
      </w:r>
    </w:p>
    <w:p>
      <w:pPr>
        <w:pStyle w:val="ListBullet"/>
        <w:spacing w:after="40"/>
      </w:pPr>
      <w:r>
        <w:t>Do not let strength in one dimension hide severe failure in another.</w:t>
      </w:r>
    </w:p>
    <w:p>
      <w:pPr>
        <w:pStyle w:val="ListBullet"/>
        <w:spacing w:after="40"/>
      </w:pPr>
      <w:r>
        <w:t>Preserve scenario provenance, scoring assumptions, version history, and known limitations.</w:t>
      </w:r>
    </w:p>
    <w:p>
      <w:pPr>
        <w:pStyle w:val="ListBullet"/>
        <w:spacing w:after="40"/>
      </w:pPr>
      <w:r>
        <w:t>Design the benchmark to be revisable and replaceable as better methods emerge.</w:t>
      </w:r>
    </w:p>
    <w:p>
      <w:pPr>
        <w:pStyle w:val="ListBullet"/>
        <w:spacing w:after="40"/>
      </w:pPr>
      <w:r>
        <w:t>Do not use benchmark success as justification for granting unchecked authority.</w:t>
      </w:r>
    </w:p>
    <w:p>
      <w:pPr>
        <w:pStyle w:val="Heading1"/>
      </w:pPr>
      <w:r>
        <w:t>Relationship to CompassionWare</w:t>
      </w:r>
    </w:p>
    <w:p>
      <w:pPr>
        <w:spacing w:after="100"/>
      </w:pPr>
      <w:r>
        <w:t>The benchmark translates a recurring CompassionWare orientation into an evaluative form: cultivate conditions rather than control outcomes; preserve agency; distinguish uncertainty; prefer stewardship over domination; treat compassion as structural rather than decorative; and repeatedly ask whether an action creates conditions for a better later.</w:t>
      </w:r>
    </w:p>
    <w:p>
      <w:pPr>
        <w:spacing w:after="100"/>
      </w:pPr>
      <w:r>
        <w:t>It also carries the Medicine Bag / Agentic Gardener insight that a healthy system does not act continuously. Returning to orientation, pausing, restoring context, and sometimes refraining are legitimate expressions of intelligent stewardship.</w:t>
      </w:r>
    </w:p>
    <w:p>
      <w:pPr>
        <w:pStyle w:val="Heading1"/>
      </w:pPr>
      <w:r>
        <w:t>First Public Seed</w:t>
      </w:r>
    </w:p>
    <w:p>
      <w:pPr>
        <w:spacing w:after="100"/>
      </w:pPr>
      <w:r>
        <w:t>The intended first public introduction is a reply to a SpaceXAI benchmark post:</w:t>
      </w:r>
    </w:p>
    <w:p>
      <w:pPr>
        <w:ind w:left="360" w:right="360"/>
      </w:pPr>
      <w:r>
        <w:rPr>
          <w:i/>
        </w:rPr>
        <w:t>“We benchmark what AI can do. As systems become more agentic, should we also benchmark how wisely they exercise that capability — preserving agency, recognizing uncertainty, considering downstream consequences, and knowing when not to act?”</w:t>
      </w:r>
    </w:p>
    <w:p>
      <w:pPr>
        <w:spacing w:after="100"/>
      </w:pPr>
      <w:r>
        <w:t>Once the concept artifact is publicly available in GitHub, the reply may include a direct link to the artifact. In this case the link is relevant because it offers the concrete concept behind the question rather than functioning as generic promotion.</w:t>
      </w:r>
    </w:p>
    <w:p>
      <w:pPr>
        <w:pStyle w:val="Heading1"/>
      </w:pPr>
      <w:r>
        <w:t>Immediate Next Work for the Dedicated Thread</w:t>
      </w:r>
    </w:p>
    <w:p>
      <w:pPr>
        <w:pStyle w:val="ListBullet"/>
        <w:spacing w:after="40"/>
      </w:pPr>
      <w:r>
        <w:t>Review adjacent benchmark literature and existing evaluations before claiming novelty.</w:t>
      </w:r>
    </w:p>
    <w:p>
      <w:pPr>
        <w:pStyle w:val="ListBullet"/>
        <w:spacing w:after="40"/>
      </w:pPr>
      <w:r>
        <w:t>Refine and operationalize each stewardship dimension.</w:t>
      </w:r>
    </w:p>
    <w:p>
      <w:pPr>
        <w:pStyle w:val="ListBullet"/>
        <w:spacing w:after="40"/>
      </w:pPr>
      <w:r>
        <w:t>Decide which dimensions can be scored reliably and which should remain qualitative.</w:t>
      </w:r>
    </w:p>
    <w:p>
      <w:pPr>
        <w:pStyle w:val="ListBullet"/>
        <w:spacing w:after="40"/>
      </w:pPr>
      <w:r>
        <w:t>Draft 10–20 prototype scenarios across different domains.</w:t>
      </w:r>
    </w:p>
    <w:p>
      <w:pPr>
        <w:pStyle w:val="ListBullet"/>
        <w:spacing w:after="40"/>
      </w:pPr>
      <w:r>
        <w:t>Develop an initial scoring rubric and reviewer instructions.</w:t>
      </w:r>
    </w:p>
    <w:p>
      <w:pPr>
        <w:pStyle w:val="ListBullet"/>
        <w:spacing w:after="40"/>
      </w:pPr>
      <w:r>
        <w:t>Test inter-rater reliability and identify ambiguous or culturally contingent criteria.</w:t>
      </w:r>
    </w:p>
    <w:p>
      <w:pPr>
        <w:pStyle w:val="ListBullet"/>
        <w:spacing w:after="40"/>
      </w:pPr>
      <w:r>
        <w:t>Explore resistance to gaming and performative moral language.</w:t>
      </w:r>
    </w:p>
    <w:p>
      <w:pPr>
        <w:pStyle w:val="ListBullet"/>
        <w:spacing w:after="40"/>
      </w:pPr>
      <w:r>
        <w:t>Consider whether there should ever be a single aggregate score or only a multidimensional profile.</w:t>
      </w:r>
    </w:p>
    <w:p>
      <w:pPr>
        <w:pStyle w:val="ListBullet"/>
        <w:spacing w:after="40"/>
      </w:pPr>
      <w:r>
        <w:t>Explore naming, licensing, open collaboration, versioning, and a public benchmark repository structure.</w:t>
      </w:r>
    </w:p>
    <w:p>
      <w:pPr>
        <w:pStyle w:val="ListBullet"/>
        <w:spacing w:after="40"/>
      </w:pPr>
      <w:r>
        <w:t>Keep the project compatible with CompassionWare’s non-coercive, open, revisable stewardship posture.</w:t>
      </w:r>
    </w:p>
    <w:p>
      <w:pPr>
        <w:pStyle w:val="Heading1"/>
      </w:pPr>
      <w:r>
        <w:t>Prompt for the New Thread</w:t>
      </w:r>
    </w:p>
    <w:p>
      <w:pPr>
        <w:spacing w:after="100"/>
      </w:pPr>
      <w:r>
        <w:t>You are helping develop the CompassionWare Stewardship Benchmark, an open concept for evaluating not only what increasingly agentic AI systems can do, but how responsibly they exercise capability. Treat Concept Seed v0.1 (CW-SB-CS-001) and this Restore Point as the starting orientation. Your task is to help turn the idea into a credible, testable, transparent, revisable benchmark without pretending that wisdom or compassion can be reduced to a number. Preserve agency, epistemic humility, downstream awareness, non-domination, reversibility, stakeholder breadth, long-term flourishing, capacity to refrain, and reflective revision as candidate dimensions. Review adjacent research before claiming novelty. Favor operational definitions, realistic scenarios, transparent rubrics, anti-gaming safeguards, and empirical validation. Keep asking: Does this create conditions for a better later?</w:t>
      </w:r>
    </w:p>
    <w:p>
      <w:pPr>
        <w:pStyle w:val="Heading1"/>
      </w:pPr>
      <w:r>
        <w:t>Stewardship Boundary</w:t>
      </w:r>
    </w:p>
    <w:p>
      <w:pPr>
        <w:spacing w:after="100"/>
      </w:pPr>
      <w:r>
        <w:t>This Restore Point preserves the state of the idea at birth. It should help future stewards reenter the work without freezing the concept into doctrine. Preserve the original artifact and version later developments rather than silently replacing it.</w:t>
      </w:r>
    </w:p>
    <w:p>
      <w:pPr>
        <w:jc w:val="center"/>
      </w:pPr>
      <w:r>
        <w:rPr>
          <w:i/>
          <w:sz w:val="18"/>
        </w:rPr>
        <w:t>May this benefit all sentient beings throughout time and space, consistent with and in harmony with the highest and best good of all concerned.</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CompassionWare Stewardship Benchmark • Restore Point • 2026-08-17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