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"/>
      </w:pPr>
      <w:r>
        <w:rPr>
          <w:rFonts w:ascii="Open Sans" w:cs="Open Sans" w:eastAsia="Open Sans" w:hAnsi="Open Sans"/>
          <w:b/>
          <w:bCs/>
          <w:color w:val="1A1A1A"/>
          <w:sz w:val="30"/>
          <w:szCs w:val="30"/>
        </w:rPr>
        <w:t xml:space="preserve">Samuel Oluwaseun Apanisile</w:t>
      </w:r>
    </w:p>
    <w:p>
      <w:pPr>
        <w:spacing w:after="16"/>
      </w:pPr>
      <w:r>
        <w:rPr>
          <w:rFonts w:ascii="Open Sans" w:cs="Open Sans" w:eastAsia="Open Sans" w:hAnsi="Open Sans"/>
          <w:b/>
          <w:bCs/>
          <w:color w:val="1F4E5F"/>
          <w:sz w:val="18"/>
          <w:szCs w:val="18"/>
        </w:rPr>
        <w:t xml:space="preserve">Data &amp; BI Specialist  |  Power BI &amp; Tableau Developer  |  Data Visualisation Consultant</w:t>
      </w:r>
    </w:p>
    <w:p>
      <w:pPr>
        <w:spacing w:after="40"/>
      </w:pPr>
      <w:r>
        <w:rPr>
          <w:rFonts w:ascii="Open Sans" w:cs="Open Sans" w:eastAsia="Open Sans" w:hAnsi="Open Sans"/>
          <w:color w:val="555555"/>
          <w:sz w:val="16"/>
          <w:szCs w:val="16"/>
        </w:rPr>
        <w:t xml:space="preserve">Lund, Sweden  ·  sam.apanisile@gmail.com  ·  076 460 0461  ·  Tableau Public featured author</w:t>
      </w:r>
    </w:p>
    <w:p>
      <w:pPr>
        <w:pBdr>
          <w:bottom w:val="single" w:color="1F4E5F" w:sz="6" w:space="2"/>
        </w:pBdr>
        <w:spacing w:after="46" w:before="104"/>
      </w:pPr>
      <w:r>
        <w:rPr>
          <w:rFonts w:ascii="Open Sans" w:cs="Open Sans" w:eastAsia="Open Sans" w:hAnsi="Open Sans"/>
          <w:b/>
          <w:bCs/>
          <w:color w:val="1F4E5F"/>
          <w:spacing w:val="24"/>
          <w:sz w:val="17"/>
          <w:szCs w:val="17"/>
        </w:rPr>
        <w:t xml:space="preserve">PROFILE</w:t>
      </w:r>
    </w:p>
    <w:p>
      <w:pPr>
        <w:spacing w:after="40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Data &amp; BI specialist who turns half-formed stakeholder questions into trusted data models and dashboards people actually use. I partner across Finance, Product and commercial teams, translate business logic into clean semantic and star-schema models, and accelerate analytics delivery with AI tools (Claude, ChatGPT). Tableau Public featured author; MSc Data Analytics &amp; Business Economics, Lund University.</w:t>
      </w:r>
    </w:p>
    <w:p>
      <w:pPr>
        <w:pBdr>
          <w:bottom w:val="single" w:color="1F4E5F" w:sz="6" w:space="2"/>
        </w:pBdr>
        <w:spacing w:after="46" w:before="104"/>
      </w:pPr>
      <w:r>
        <w:rPr>
          <w:rFonts w:ascii="Open Sans" w:cs="Open Sans" w:eastAsia="Open Sans" w:hAnsi="Open Sans"/>
          <w:b/>
          <w:bCs/>
          <w:color w:val="1F4E5F"/>
          <w:spacing w:val="24"/>
          <w:sz w:val="17"/>
          <w:szCs w:val="17"/>
        </w:rPr>
        <w:t xml:space="preserve">CORE SKILLS</w:t>
      </w:r>
    </w:p>
    <w:p>
      <w:pPr>
        <w:spacing w:after="28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BI &amp; Dashboards:  </w:t>
      </w: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Tableau, Power BI, Looker, Advanced Excel, RLS (row-level security)</w:t>
      </w:r>
    </w:p>
    <w:p>
      <w:pPr>
        <w:spacing w:after="28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Data &amp; Warehouse:  </w:t>
      </w: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SQL, BigQuery, Snowflake, Microsoft Fabric, ETL</w:t>
      </w:r>
    </w:p>
    <w:p>
      <w:pPr>
        <w:spacing w:after="28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Modelling:  </w:t>
      </w: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Star schema, semantic models, joins &amp; aggregations, data quality &amp; governance</w:t>
      </w:r>
    </w:p>
    <w:p>
      <w:pPr>
        <w:spacing w:after="40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Also:  </w:t>
      </w: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Python, machine learning, AI-assisted analytics (Claude, Gemini, ChatGPT), root-cause analysis, Agile, Google Analytics</w:t>
      </w:r>
    </w:p>
    <w:p>
      <w:pPr>
        <w:pBdr>
          <w:bottom w:val="single" w:color="1F4E5F" w:sz="6" w:space="2"/>
        </w:pBdr>
        <w:spacing w:after="46" w:before="104"/>
      </w:pPr>
      <w:r>
        <w:rPr>
          <w:rFonts w:ascii="Open Sans" w:cs="Open Sans" w:eastAsia="Open Sans" w:hAnsi="Open Sans"/>
          <w:b/>
          <w:bCs/>
          <w:color w:val="1F4E5F"/>
          <w:spacing w:val="24"/>
          <w:sz w:val="17"/>
          <w:szCs w:val="17"/>
        </w:rPr>
        <w:t xml:space="preserve">EXPERIENCE</w:t>
      </w:r>
    </w:p>
    <w:p>
      <w:pPr>
        <w:tabs>
          <w:tab w:val="right" w:pos="10466"/>
        </w:tabs>
        <w:spacing w:after="32"/>
      </w:pPr>
      <w:r>
        <w:rPr>
          <w:rFonts w:ascii="Open Sans" w:cs="Open Sans" w:eastAsia="Open Sans" w:hAnsi="Open Sans"/>
          <w:b/>
          <w:bCs/>
          <w:color w:val="1A1A1A"/>
          <w:sz w:val="19"/>
          <w:szCs w:val="19"/>
        </w:rPr>
        <w:t xml:space="preserve">Data Visualisation &amp; BI Consultant</w:t>
      </w:r>
      <w:r>
        <w:rPr>
          <w:rFonts w:ascii="Open Sans" w:cs="Open Sans" w:eastAsia="Open Sans" w:hAnsi="Open Sans"/>
          <w:color w:val="555555"/>
          <w:sz w:val="17"/>
          <w:szCs w:val="17"/>
        </w:rPr>
        <w:t xml:space="preserve">	Vizpulse Studios LLC  ·  Apr 2022 – Jun 2026</w:t>
      </w:r>
    </w:p>
    <w:p>
      <w:pPr>
        <w:pStyle w:val="ListParagraph"/>
        <w:numPr>
          <w:ilvl w:val="0"/>
          <w:numId w:val="2"/>
        </w:numPr>
        <w:spacing w:after="46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Partnered with stakeholders across development and commercial sectors to translate operational questions into technical data requirements and KPIs, building semantic models and dashboards that tracked community engagement and interventions.</w:t>
      </w:r>
    </w:p>
    <w:p>
      <w:pPr>
        <w:pStyle w:val="ListParagraph"/>
        <w:numPr>
          <w:ilvl w:val="0"/>
          <w:numId w:val="2"/>
        </w:numPr>
        <w:spacing w:after="46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Developed interactive Tableau reporting suites analysing channel performance and user behaviour, enabling cross-functional stakeholders to identify drop-offs and optimise product adoption.</w:t>
      </w:r>
    </w:p>
    <w:p>
      <w:pPr>
        <w:pStyle w:val="ListParagraph"/>
        <w:numPr>
          <w:ilvl w:val="0"/>
          <w:numId w:val="2"/>
        </w:numPr>
        <w:spacing w:after="46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Designed robust star-schema data models with clean relationships to handle complex many-to-many business logic, and engineered scalable, validated data pipelines that reduced errors and scaled reporting across 20+ counties.</w:t>
      </w:r>
    </w:p>
    <w:p>
      <w:pPr>
        <w:pStyle w:val="ListParagraph"/>
        <w:numPr>
          <w:ilvl w:val="0"/>
          <w:numId w:val="2"/>
        </w:numPr>
        <w:spacing w:after="46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Built unified open-data repositories standardising disparate state and local metrics into accessible reporting, driving data maturity and transparent cross-agency collaboration.</w:t>
      </w:r>
    </w:p>
    <w:p>
      <w:pPr>
        <w:pStyle w:val="ListParagraph"/>
        <w:numPr>
          <w:ilvl w:val="0"/>
          <w:numId w:val="2"/>
        </w:numPr>
        <w:spacing w:after="40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Delivered public-facing analytical solutions with municipal county leadership, improving transparency of sensitive data to support data-informed intervention policy.</w:t>
      </w:r>
    </w:p>
    <w:p>
      <w:pPr>
        <w:pBdr>
          <w:bottom w:val="single" w:color="1F4E5F" w:sz="6" w:space="2"/>
        </w:pBdr>
        <w:spacing w:after="46" w:before="104"/>
      </w:pPr>
      <w:r>
        <w:rPr>
          <w:rFonts w:ascii="Open Sans" w:cs="Open Sans" w:eastAsia="Open Sans" w:hAnsi="Open Sans"/>
          <w:b/>
          <w:bCs/>
          <w:color w:val="1F4E5F"/>
          <w:spacing w:val="24"/>
          <w:sz w:val="17"/>
          <w:szCs w:val="17"/>
        </w:rPr>
        <w:t xml:space="preserve">EDUCATION</w:t>
      </w:r>
    </w:p>
    <w:p>
      <w:pPr>
        <w:tabs>
          <w:tab w:val="right" w:pos="10466"/>
        </w:tabs>
        <w:spacing w:after="26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MSc Data Analytics &amp; Business Economics</w:t>
      </w:r>
      <w:r>
        <w:rPr>
          <w:rFonts w:ascii="Open Sans" w:cs="Open Sans" w:eastAsia="Open Sans" w:hAnsi="Open Sans"/>
          <w:color w:val="555555"/>
          <w:sz w:val="17"/>
          <w:szCs w:val="17"/>
        </w:rPr>
        <w:t xml:space="preserve">	Lund University  ·  2026</w:t>
      </w:r>
    </w:p>
    <w:p>
      <w:pPr>
        <w:tabs>
          <w:tab w:val="right" w:pos="10466"/>
        </w:tabs>
        <w:spacing w:after="40" w:line="232"/>
      </w:pPr>
      <w:r>
        <w:rPr>
          <w:rFonts w:ascii="Open Sans" w:cs="Open Sans" w:eastAsia="Open Sans" w:hAnsi="Open Sans"/>
          <w:b/>
          <w:bCs/>
          <w:color w:val="1A1A1A"/>
          <w:sz w:val="18"/>
          <w:szCs w:val="18"/>
        </w:rPr>
        <w:t xml:space="preserve">BSc Industrial Mathematics</w:t>
      </w:r>
      <w:r>
        <w:rPr>
          <w:rFonts w:ascii="Open Sans" w:cs="Open Sans" w:eastAsia="Open Sans" w:hAnsi="Open Sans"/>
          <w:color w:val="555555"/>
          <w:sz w:val="17"/>
          <w:szCs w:val="17"/>
        </w:rPr>
        <w:t xml:space="preserve">	Adekunle Ajasin University  ·  2020</w:t>
      </w:r>
    </w:p>
    <w:p>
      <w:pPr>
        <w:pBdr>
          <w:bottom w:val="single" w:color="1F4E5F" w:sz="6" w:space="2"/>
        </w:pBdr>
        <w:spacing w:after="46" w:before="104"/>
      </w:pPr>
      <w:r>
        <w:rPr>
          <w:rFonts w:ascii="Open Sans" w:cs="Open Sans" w:eastAsia="Open Sans" w:hAnsi="Open Sans"/>
          <w:b/>
          <w:bCs/>
          <w:color w:val="1F4E5F"/>
          <w:spacing w:val="24"/>
          <w:sz w:val="17"/>
          <w:szCs w:val="17"/>
        </w:rPr>
        <w:t xml:space="preserve">CERTIFICATIONS</w:t>
      </w:r>
    </w:p>
    <w:p>
      <w:pPr>
        <w:spacing w:after="0" w:line="232"/>
      </w:pPr>
      <w:r>
        <w:rPr>
          <w:rFonts w:ascii="Open Sans" w:cs="Open Sans" w:eastAsia="Open Sans" w:hAnsi="Open Sans"/>
          <w:color w:val="1A1A1A"/>
          <w:sz w:val="18"/>
          <w:szCs w:val="18"/>
        </w:rPr>
        <w:t xml:space="preserve">Tableau Desktop Specialist  ·  Google Business Intelligence  ·  Master Data Management  ·  Digital Marketing Foundations</w:t>
      </w:r>
    </w:p>
    <w:sectPr>
      <w:pgSz w:w="11906" w:h="16838" w:orient="portrait"/>
      <w:pgMar w:top="68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40"/>
      </w:pPr>
      <w:rPr>
        <w:color w:val="1F4E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2026-09-28T10:05:08.635Z</dcterms:created>
  <dcterms:modified xsi:type="dcterms:W3CDTF">2026-09-28T10:05:08.638Z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