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rPr>
          <w:rFonts w:ascii="宋体" w:hAnsi="宋体" w:eastAsia="宋体" w:cs="宋体"/>
          <w:sz w:val="24"/>
        </w:rPr>
      </w:pPr>
    </w:p>
    <w:p>
      <w:pPr>
        <w:pStyle w:val="3"/>
        <w:rPr>
          <w:rFonts w:hint="eastAsia"/>
          <w:lang w:val="en-US" w:eastAsia="zh-CN"/>
        </w:rPr>
      </w:pPr>
      <w:r>
        <w:rPr>
          <w:rFonts w:hint="eastAsia"/>
        </w:rPr>
        <w:t>接口</w:t>
      </w:r>
      <w:r>
        <w:rPr>
          <w:rFonts w:hint="eastAsia"/>
          <w:lang w:val="en-US" w:eastAsia="zh-CN"/>
        </w:rPr>
        <w:t xml:space="preserve"> </w:t>
      </w:r>
      <w:r>
        <w:rPr>
          <w:rFonts w:hint="eastAsia"/>
          <w:lang w:val="en-US" w:eastAsia="zh-CN"/>
        </w:rPr>
        <w:tab/>
      </w:r>
    </w:p>
    <w:p>
      <w:pPr>
        <w:pStyle w:val="4"/>
        <w:rPr>
          <w:rFonts w:hint="eastAsia"/>
          <w:lang w:val="en-US" w:eastAsia="zh-CN"/>
        </w:rPr>
      </w:pPr>
      <w:bookmarkStart w:id="0" w:name="_GoBack"/>
      <w:bookmarkEnd w:id="0"/>
      <w:r>
        <w:rPr>
          <w:rFonts w:hint="eastAsia"/>
          <w:lang w:val="en-US" w:eastAsia="zh-CN"/>
        </w:rPr>
        <w:t>接口的继承</w:t>
      </w:r>
    </w:p>
    <w:p>
      <w:pPr>
        <w:numPr>
          <w:ilvl w:val="0"/>
          <w:numId w:val="1"/>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1"/>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1"/>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1"/>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1"/>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2"/>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3"/>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3"/>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2"/>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2"/>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4"/>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5"/>
        </w:numPr>
        <w:ind w:left="420" w:leftChars="0" w:hanging="420" w:firstLineChars="0"/>
        <w:rPr>
          <w:rFonts w:hint="eastAsia"/>
          <w:lang w:val="en-US" w:eastAsia="zh-CN"/>
        </w:rPr>
      </w:pPr>
      <w:r>
        <w:rPr>
          <w:rFonts w:hint="eastAsia"/>
          <w:lang w:val="en-US" w:eastAsia="zh-CN"/>
        </w:rPr>
        <w:t>Kind()</w:t>
      </w:r>
    </w:p>
    <w:p>
      <w:pPr>
        <w:numPr>
          <w:ilvl w:val="0"/>
          <w:numId w:val="6"/>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7"/>
        </w:numPr>
        <w:ind w:left="420" w:leftChars="0" w:hanging="420" w:firstLineChars="0"/>
        <w:rPr>
          <w:rFonts w:hint="eastAsia"/>
          <w:lang w:val="en-US" w:eastAsia="zh-CN"/>
        </w:rPr>
      </w:pPr>
      <w:r>
        <w:rPr>
          <w:rFonts w:hint="eastAsia"/>
          <w:lang w:val="en-US" w:eastAsia="zh-CN"/>
        </w:rPr>
        <w:t>Interface()</w:t>
      </w:r>
    </w:p>
    <w:p>
      <w:pPr>
        <w:numPr>
          <w:ilvl w:val="0"/>
          <w:numId w:val="8"/>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9"/>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9"/>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9"/>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shd w:val="clear" w:color="auto" w:fill="auto"/>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9"/>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9"/>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9"/>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9"/>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0"/>
        </w:numPr>
        <w:ind w:left="420" w:leftChars="0" w:hanging="420" w:firstLineChars="0"/>
        <w:rPr>
          <w:rFonts w:hint="eastAsia"/>
          <w:lang w:val="en-US" w:eastAsia="zh-CN"/>
        </w:rPr>
      </w:pPr>
      <w:r>
        <w:rPr>
          <w:rFonts w:hint="eastAsia"/>
          <w:lang w:val="en-US" w:eastAsia="zh-CN"/>
        </w:rPr>
        <w:t>Go多核计算例子</w:t>
      </w:r>
    </w:p>
    <w:p>
      <w:pPr>
        <w:numPr>
          <w:ilvl w:val="0"/>
          <w:numId w:val="11"/>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10"/>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10"/>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789555"/>
                    </a:xfrm>
                    <a:prstGeom prst="rect">
                      <a:avLst/>
                    </a:prstGeom>
                    <a:noFill/>
                    <a:ln w="9525">
                      <a:noFill/>
                    </a:ln>
                  </pic:spPr>
                </pic:pic>
              </a:graphicData>
            </a:graphic>
          </wp:inline>
        </w:drawing>
      </w:r>
    </w:p>
    <w:p>
      <w:pPr>
        <w:numPr>
          <w:ilvl w:val="0"/>
          <w:numId w:val="12"/>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3"/>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14"/>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15"/>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16"/>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16"/>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17"/>
        </w:numPr>
        <w:ind w:left="420" w:leftChars="0" w:hanging="420" w:firstLineChars="0"/>
        <w:rPr>
          <w:rFonts w:hint="eastAsia"/>
          <w:lang w:val="en-US" w:eastAsia="zh-CN"/>
        </w:rPr>
      </w:pPr>
      <w:r>
        <w:rPr>
          <w:rFonts w:hint="eastAsia"/>
          <w:lang w:val="en-US" w:eastAsia="zh-CN"/>
        </w:rPr>
        <w:t>func Sum(data []byte) [Size]byte</w:t>
      </w:r>
    </w:p>
    <w:p>
      <w:pPr>
        <w:numPr>
          <w:ilvl w:val="0"/>
          <w:numId w:val="17"/>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17"/>
        </w:numPr>
        <w:ind w:left="420" w:leftChars="0" w:hanging="420" w:firstLineChars="0"/>
        <w:rPr>
          <w:rFonts w:hint="eastAsia"/>
          <w:lang w:val="en-US" w:eastAsia="zh-CN"/>
        </w:rPr>
      </w:pPr>
      <w:r>
        <w:rPr>
          <w:rFonts w:hint="eastAsia"/>
          <w:lang w:val="en-US" w:eastAsia="zh-CN"/>
        </w:rPr>
        <w:t>func New() hash.Hash</w:t>
      </w:r>
    </w:p>
    <w:p>
      <w:pPr>
        <w:numPr>
          <w:ilvl w:val="0"/>
          <w:numId w:val="17"/>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18"/>
        </w:numPr>
        <w:ind w:left="420" w:leftChars="0" w:hanging="420" w:firstLineChars="0"/>
        <w:rPr>
          <w:rFonts w:hint="eastAsia"/>
          <w:lang w:val="en-US" w:eastAsia="zh-CN"/>
        </w:rPr>
      </w:pPr>
      <w:r>
        <w:rPr>
          <w:rFonts w:hint="eastAsia"/>
          <w:lang w:val="en-US" w:eastAsia="zh-CN"/>
        </w:rPr>
        <w:t>func EncodeToString(src []byte) string</w:t>
      </w:r>
    </w:p>
    <w:p>
      <w:pPr>
        <w:numPr>
          <w:ilvl w:val="0"/>
          <w:numId w:val="18"/>
        </w:numPr>
        <w:ind w:left="420" w:leftChars="0" w:hanging="420" w:firstLineChars="0"/>
        <w:rPr>
          <w:rFonts w:hint="eastAsia"/>
          <w:lang w:val="en-US" w:eastAsia="zh-CN"/>
        </w:rPr>
      </w:pPr>
      <w:r>
        <w:rPr>
          <w:rFonts w:hint="eastAsia"/>
          <w:lang w:val="en-US" w:eastAsia="zh-CN"/>
        </w:rPr>
        <w:t>将数据src编码为字符串s</w:t>
      </w:r>
    </w:p>
    <w:p>
      <w:pPr>
        <w:numPr>
          <w:ilvl w:val="0"/>
          <w:numId w:val="18"/>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E54B"/>
    <w:multiLevelType w:val="singleLevel"/>
    <w:tmpl w:val="5907E54B"/>
    <w:lvl w:ilvl="0" w:tentative="0">
      <w:start w:val="2"/>
      <w:numFmt w:val="chineseCounting"/>
      <w:suff w:val="nothing"/>
      <w:lvlText w:val="%1."/>
      <w:lvlJc w:val="left"/>
    </w:lvl>
  </w:abstractNum>
  <w:abstractNum w:abstractNumId="1">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3">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4">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6">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7">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8">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9">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10">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11">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12">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14">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15">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16">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17">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8"/>
  </w:num>
  <w:num w:numId="2">
    <w:abstractNumId w:val="9"/>
  </w:num>
  <w:num w:numId="3">
    <w:abstractNumId w:val="10"/>
  </w:num>
  <w:num w:numId="4">
    <w:abstractNumId w:val="2"/>
  </w:num>
  <w:num w:numId="5">
    <w:abstractNumId w:val="3"/>
  </w:num>
  <w:num w:numId="6">
    <w:abstractNumId w:val="4"/>
  </w:num>
  <w:num w:numId="7">
    <w:abstractNumId w:val="5"/>
  </w:num>
  <w:num w:numId="8">
    <w:abstractNumId w:val="6"/>
  </w:num>
  <w:num w:numId="9">
    <w:abstractNumId w:val="7"/>
  </w:num>
  <w:num w:numId="10">
    <w:abstractNumId w:val="11"/>
  </w:num>
  <w:num w:numId="11">
    <w:abstractNumId w:val="16"/>
  </w:num>
  <w:num w:numId="12">
    <w:abstractNumId w:val="12"/>
  </w:num>
  <w:num w:numId="13">
    <w:abstractNumId w:val="13"/>
  </w:num>
  <w:num w:numId="14">
    <w:abstractNumId w:val="17"/>
  </w:num>
  <w:num w:numId="15">
    <w:abstractNumId w:val="0"/>
  </w:num>
  <w:num w:numId="16">
    <w:abstractNumId w:val="1"/>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A80B18"/>
    <w:rsid w:val="07C83357"/>
    <w:rsid w:val="082B41FD"/>
    <w:rsid w:val="084966EE"/>
    <w:rsid w:val="088F2CD7"/>
    <w:rsid w:val="096E2BA4"/>
    <w:rsid w:val="0A6E1720"/>
    <w:rsid w:val="0ABD09CF"/>
    <w:rsid w:val="0B342644"/>
    <w:rsid w:val="0B642E13"/>
    <w:rsid w:val="0B862976"/>
    <w:rsid w:val="0C2B5DE8"/>
    <w:rsid w:val="0C63634B"/>
    <w:rsid w:val="0C652F6B"/>
    <w:rsid w:val="0CD343A0"/>
    <w:rsid w:val="0CD36CFC"/>
    <w:rsid w:val="0CD738C8"/>
    <w:rsid w:val="0D26078D"/>
    <w:rsid w:val="0D550576"/>
    <w:rsid w:val="0D771379"/>
    <w:rsid w:val="0E1A2214"/>
    <w:rsid w:val="0E744384"/>
    <w:rsid w:val="0EC61415"/>
    <w:rsid w:val="0F13078B"/>
    <w:rsid w:val="0FA8295D"/>
    <w:rsid w:val="0FAF70A9"/>
    <w:rsid w:val="109818BC"/>
    <w:rsid w:val="10DB26D6"/>
    <w:rsid w:val="10F305D6"/>
    <w:rsid w:val="123C3F39"/>
    <w:rsid w:val="12730CE0"/>
    <w:rsid w:val="12855906"/>
    <w:rsid w:val="1335168F"/>
    <w:rsid w:val="14542ECF"/>
    <w:rsid w:val="14670E6F"/>
    <w:rsid w:val="146E5A0B"/>
    <w:rsid w:val="14B71D52"/>
    <w:rsid w:val="152F5E0B"/>
    <w:rsid w:val="15610E97"/>
    <w:rsid w:val="159D2B5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05F7ED8"/>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247524"/>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523FEE"/>
    <w:rsid w:val="45626496"/>
    <w:rsid w:val="459D000C"/>
    <w:rsid w:val="45D641BC"/>
    <w:rsid w:val="45D66CFF"/>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2EF3DCD"/>
    <w:rsid w:val="53574A3B"/>
    <w:rsid w:val="536B0C9B"/>
    <w:rsid w:val="53BE71FC"/>
    <w:rsid w:val="544F4751"/>
    <w:rsid w:val="54A032E4"/>
    <w:rsid w:val="54FE13CF"/>
    <w:rsid w:val="562A2D92"/>
    <w:rsid w:val="56AA18E7"/>
    <w:rsid w:val="56C20FCD"/>
    <w:rsid w:val="57245570"/>
    <w:rsid w:val="57910066"/>
    <w:rsid w:val="57B202A4"/>
    <w:rsid w:val="57BA457B"/>
    <w:rsid w:val="57BC50A1"/>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996634A"/>
    <w:rsid w:val="6A733936"/>
    <w:rsid w:val="6A7456B8"/>
    <w:rsid w:val="6AEA621F"/>
    <w:rsid w:val="6AF566FD"/>
    <w:rsid w:val="6B7F58CB"/>
    <w:rsid w:val="6BCA28A4"/>
    <w:rsid w:val="6C0564B8"/>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5516A29"/>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2017-08-24T00:29:26Z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