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51F30" w14:textId="69BF3562" w:rsidR="001A44CF" w:rsidRDefault="00F35374" w:rsidP="00F35374">
      <w:pPr>
        <w:pStyle w:val="Heading1"/>
      </w:pPr>
      <w:r>
        <w:t>Data Collection</w:t>
      </w:r>
      <w:r w:rsidR="00D601E8">
        <w:t xml:space="preserve"> &amp; Analysis</w:t>
      </w:r>
    </w:p>
    <w:p w14:paraId="1A5C5A0F" w14:textId="77777777" w:rsidR="00F35374" w:rsidRDefault="00F35374" w:rsidP="00F35374"/>
    <w:p w14:paraId="72587C5D" w14:textId="034F9FD2" w:rsidR="00F35374" w:rsidRDefault="00F35374" w:rsidP="00F35374">
      <w:r>
        <w:t xml:space="preserve">This section will outline a </w:t>
      </w:r>
      <w:r>
        <w:t xml:space="preserve">comprehensive methodology for </w:t>
      </w:r>
      <w:r>
        <w:t>analysing</w:t>
      </w:r>
      <w:r>
        <w:t xml:space="preserve"> the competing risks of a financial portfolio</w:t>
      </w:r>
      <w:r>
        <w:t xml:space="preserve"> which we have assumed,</w:t>
      </w:r>
      <w:r>
        <w:t xml:space="preserve"> consisting of the S&amp;P500 index and US Treasury Bonds using copulas. Our objective is to provide a robust and flexible approach for </w:t>
      </w:r>
      <w:r>
        <w:t>modelling</w:t>
      </w:r>
      <w:r>
        <w:t xml:space="preserve"> the dependence structure between these two assets, which is crucial for evaluating the risk profile of the portfolio.</w:t>
      </w:r>
    </w:p>
    <w:p w14:paraId="47A8032E" w14:textId="77777777" w:rsidR="00F35374" w:rsidRDefault="00F35374" w:rsidP="00F35374"/>
    <w:p w14:paraId="138EDE3F" w14:textId="11F7D872" w:rsidR="00F35374" w:rsidRDefault="00F35374" w:rsidP="00F35374">
      <w:r>
        <w:t xml:space="preserve">To achieve this, we </w:t>
      </w:r>
      <w:r>
        <w:t>began</w:t>
      </w:r>
      <w:r>
        <w:t xml:space="preserve"> by collecting historical data on the S&amp;P500 index and US Treasury Bonds</w:t>
      </w:r>
      <w:r>
        <w:t>, using a Bloomberg terminal</w:t>
      </w:r>
      <w:r>
        <w:t xml:space="preserve">. We </w:t>
      </w:r>
      <w:r>
        <w:t>used</w:t>
      </w:r>
      <w:r>
        <w:t xml:space="preserve"> this data to estimate their individual marginal distributions, which provide</w:t>
      </w:r>
      <w:r>
        <w:t>d</w:t>
      </w:r>
      <w:r>
        <w:t xml:space="preserve"> us with an understanding of the </w:t>
      </w:r>
      <w:r>
        <w:t>behaviour</w:t>
      </w:r>
      <w:r>
        <w:t xml:space="preserve"> of each asset in isolation. In particular, we </w:t>
      </w:r>
      <w:r>
        <w:t>looked for certain</w:t>
      </w:r>
      <w:r>
        <w:t xml:space="preserve"> statistical properties of these distributions, including their moments, skewness, and kurtosis, to gain insights into the underlying risk characteristics of each asset.</w:t>
      </w:r>
    </w:p>
    <w:p w14:paraId="48682F32" w14:textId="77777777" w:rsidR="00D601E8" w:rsidRDefault="00D601E8" w:rsidP="00F35374"/>
    <w:p w14:paraId="7998C527" w14:textId="6D6F32C2" w:rsidR="00F31DD1" w:rsidRDefault="00F31DD1" w:rsidP="00F31DD1">
      <w:pPr>
        <w:rPr>
          <w:noProof/>
        </w:rPr>
      </w:pPr>
      <w:r>
        <w:rPr>
          <w:noProof/>
        </w:rPr>
        <w:t>To establish the marginal distributions of the data, we conducted a thorough analysis of the historical data for the S&amp;P500 index and US Treasury Bonds. We began by collecting daily price data for both assets over a period of several years. We then calculated the daily returns for each asset, which were defined as the percentage change in price from the previous day's closing price.</w:t>
      </w:r>
      <w:r>
        <w:rPr>
          <w:noProof/>
        </w:rPr>
        <w:t xml:space="preserve"> </w:t>
      </w:r>
      <w:r>
        <w:rPr>
          <w:noProof/>
        </w:rPr>
        <w:t>Next, we conducted a series of statistical tests to evaluate the distributional properties of the returns for each asset. We first plotted histograms of the returns</w:t>
      </w:r>
      <w:r>
        <w:rPr>
          <w:noProof/>
        </w:rPr>
        <w:t>, as shown in Figure 5.1 below,</w:t>
      </w:r>
      <w:r>
        <w:rPr>
          <w:noProof/>
        </w:rPr>
        <w:t xml:space="preserve"> and visually inspected them for symmetry and skewness. We also calculated summary statistics for the returns, including the mean, standard deviation, skewness, and kurtosis, to gain further insights into the underlying distributional properties.</w:t>
      </w:r>
    </w:p>
    <w:p w14:paraId="663DED3B" w14:textId="77777777" w:rsidR="00492603" w:rsidRDefault="00492603" w:rsidP="00F31DD1">
      <w:pPr>
        <w:rPr>
          <w:noProof/>
        </w:rPr>
      </w:pPr>
    </w:p>
    <w:p w14:paraId="74D0738F" w14:textId="51982024" w:rsidR="00F31DD1" w:rsidRDefault="00F31DD1" w:rsidP="00F31DD1">
      <w:pPr>
        <w:rPr>
          <w:noProof/>
        </w:rPr>
      </w:pPr>
      <w:r w:rsidRPr="00F31DD1">
        <w:rPr>
          <w:noProof/>
        </w:rPr>
        <w:drawing>
          <wp:anchor distT="0" distB="0" distL="114300" distR="114300" simplePos="0" relativeHeight="251661312" behindDoc="0" locked="0" layoutInCell="1" allowOverlap="1" wp14:anchorId="71D1755A" wp14:editId="71A49294">
            <wp:simplePos x="0" y="0"/>
            <wp:positionH relativeFrom="column">
              <wp:posOffset>0</wp:posOffset>
            </wp:positionH>
            <wp:positionV relativeFrom="paragraph">
              <wp:posOffset>5715</wp:posOffset>
            </wp:positionV>
            <wp:extent cx="5731510" cy="2131060"/>
            <wp:effectExtent l="0" t="0" r="0" b="2540"/>
            <wp:wrapTopAndBottom/>
            <wp:docPr id="80847493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474936" name="Picture 1" descr="Chart, hist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2131060"/>
                    </a:xfrm>
                    <a:prstGeom prst="rect">
                      <a:avLst/>
                    </a:prstGeom>
                  </pic:spPr>
                </pic:pic>
              </a:graphicData>
            </a:graphic>
            <wp14:sizeRelH relativeFrom="page">
              <wp14:pctWidth>0</wp14:pctWidth>
            </wp14:sizeRelH>
            <wp14:sizeRelV relativeFrom="page">
              <wp14:pctHeight>0</wp14:pctHeight>
            </wp14:sizeRelV>
          </wp:anchor>
        </w:drawing>
      </w:r>
    </w:p>
    <w:p w14:paraId="06FE6C7C" w14:textId="0DFA6323" w:rsidR="004E4A03" w:rsidRDefault="00F31DD1" w:rsidP="004E4A03">
      <w:r>
        <w:rPr>
          <w:noProof/>
        </w:rPr>
        <w:t>Based on our analysis, we found that the returns for the S&amp;P500 index exhibited slight positive skewness and leptokurtosis, indicating that they were not normally distributed. The returns for US Treasury Bonds, on the other hand, exhibited negative skewness and platykurtosis, indicating that they were negatively skewed and had thinner tails than a normal distribution.</w:t>
      </w:r>
      <w:r w:rsidR="004E4A03">
        <w:t xml:space="preserve"> In order t</w:t>
      </w:r>
      <w:r w:rsidR="004E4A03">
        <w:t xml:space="preserve">o model the marginal distributions of the two assets, we considered several </w:t>
      </w:r>
      <w:r w:rsidR="004E4A03">
        <w:t>different distributions</w:t>
      </w:r>
      <w:r w:rsidR="004E4A03">
        <w:t>, including normal, log-normal, and Student's t-</w:t>
      </w:r>
      <w:r w:rsidR="004E4A03">
        <w:lastRenderedPageBreak/>
        <w:t>distributions. We fit each distribution to the empirical data using maximum likelihood estimation and evaluated the goodness-of-fit using the Kolmogorov-Smirnov test</w:t>
      </w:r>
      <w:r w:rsidR="004E4A03">
        <w:t>.</w:t>
      </w:r>
    </w:p>
    <w:p w14:paraId="69948665" w14:textId="77777777" w:rsidR="004E4A03" w:rsidRDefault="004E4A03" w:rsidP="004E4A03"/>
    <w:p w14:paraId="6AF0C4E4" w14:textId="12CF42AF" w:rsidR="00F35374" w:rsidRDefault="00405DFD" w:rsidP="004E4A03">
      <w:r>
        <w:t>From this</w:t>
      </w:r>
      <w:r w:rsidR="004E4A03">
        <w:t>, we found that the log-normal distribution provided the best fit to the S&amp;P500 index returns, while the Student's t-distribution provided the best fit to the returns for US Treasury Bonds. We therefore used these distributions to model the marginal distributions of the two assets in our subsequent analyses.</w:t>
      </w:r>
    </w:p>
    <w:p w14:paraId="1DBDF1B3" w14:textId="77777777" w:rsidR="00822A78" w:rsidRDefault="00822A78" w:rsidP="004E4A03"/>
    <w:p w14:paraId="11CD6C00" w14:textId="643FD4FC" w:rsidR="00822A78" w:rsidRDefault="00822A78" w:rsidP="00822A78">
      <w:pPr>
        <w:pStyle w:val="Heading1"/>
      </w:pPr>
      <w:r>
        <w:t>Fitting a Joint Distribution to the Data</w:t>
      </w:r>
    </w:p>
    <w:p w14:paraId="050E9ADE" w14:textId="77777777" w:rsidR="00822A78" w:rsidRDefault="00822A78" w:rsidP="00822A78"/>
    <w:p w14:paraId="2E229852" w14:textId="77777777" w:rsidR="00822A78" w:rsidRDefault="00822A78" w:rsidP="00822A78">
      <w:r>
        <w:t>To fit a joint distribution to the S&amp;P500 index and US Treasury Bond returns data, we first attempted to fit a multivariate Gaussian distribution. However, we found that this did not do a good job of capturing the dependence structure between the two assets, which is known to be non-linear and non-normal. Specifically, the Gaussian distribution failed to capture the tail dependence between the two assets, which is particularly important in financial crises when the prices of both assets can be strongly affected by a common shock.</w:t>
      </w:r>
    </w:p>
    <w:p w14:paraId="003A5A49" w14:textId="77777777" w:rsidR="00822A78" w:rsidRDefault="00822A78" w:rsidP="00822A78"/>
    <w:p w14:paraId="4CE046B6" w14:textId="52DDF302" w:rsidR="004E4A03" w:rsidRDefault="00822A78" w:rsidP="00822A78">
      <w:r>
        <w:t xml:space="preserve">To address this limitation, we then fit a Gaussian copula to the data. A </w:t>
      </w:r>
      <w:r>
        <w:t>copula allow</w:t>
      </w:r>
      <w:r w:rsidR="004D25BD">
        <w:t>s</w:t>
      </w:r>
      <w:r>
        <w:t xml:space="preserve"> us to</w:t>
      </w:r>
      <w:r>
        <w:t xml:space="preserve"> link the marginal distributions of </w:t>
      </w:r>
      <w:r w:rsidR="004D25BD">
        <w:t>multiple</w:t>
      </w:r>
      <w:r>
        <w:t xml:space="preserve"> variables to their joint distribution. The Gaussian copula is a popular choice because it allows for flexible dependence structures, and can be easily parameterized based on the correlation matrix of the data. Our analysis showed that the Gaussian copula did a better job of capturing the dependence structure between the S&amp;P500 index and US Treasury Bond returns compared to the multivariate Gaussian distribution. However, we also found that the Gaussian copula understated the risk of joint extreme events in the tails of the distribution. This is because the Gaussian copula assumes a symmetric dependence structure, which may not be realistic in financial crises when the returns of both assets can move together in a non-linear and asymmetric way. Therefore, while the Gaussian copula provides a better approximation to the joint distribution of the data than the multivariate Gaussian distribution, it may underestimate the risk of extreme events, particularly in the tails of the distribution.</w:t>
      </w:r>
      <w:r w:rsidR="008B69A6">
        <w:t xml:space="preserve"> </w:t>
      </w:r>
    </w:p>
    <w:p w14:paraId="31BE4CE6" w14:textId="5AA33D0E" w:rsidR="00F35374" w:rsidRPr="00D601E8" w:rsidRDefault="00F35374" w:rsidP="00F35374">
      <w:pPr>
        <w:rPr>
          <w:highlight w:val="yellow"/>
        </w:rPr>
      </w:pPr>
      <w:r w:rsidRPr="00D601E8">
        <w:rPr>
          <w:highlight w:val="yellow"/>
        </w:rPr>
        <w:t>We then procee</w:t>
      </w:r>
      <w:r w:rsidR="00F42094" w:rsidRPr="00D601E8">
        <w:rPr>
          <w:highlight w:val="yellow"/>
        </w:rPr>
        <w:t>de</w:t>
      </w:r>
      <w:r w:rsidRPr="00D601E8">
        <w:rPr>
          <w:highlight w:val="yellow"/>
        </w:rPr>
        <w:t>d to model the dependence structure between the two assets using copulas.</w:t>
      </w:r>
      <w:r w:rsidR="00F42094" w:rsidRPr="00D601E8">
        <w:rPr>
          <w:highlight w:val="yellow"/>
        </w:rPr>
        <w:t xml:space="preserve"> As explained previously, c</w:t>
      </w:r>
      <w:r w:rsidRPr="00D601E8">
        <w:rPr>
          <w:highlight w:val="yellow"/>
        </w:rPr>
        <w:t xml:space="preserve">opulas are a powerful mathematical tool for </w:t>
      </w:r>
      <w:r w:rsidRPr="00D601E8">
        <w:rPr>
          <w:highlight w:val="yellow"/>
        </w:rPr>
        <w:t>modelling</w:t>
      </w:r>
      <w:r w:rsidRPr="00D601E8">
        <w:rPr>
          <w:highlight w:val="yellow"/>
        </w:rPr>
        <w:t xml:space="preserve"> the joint distribution of two or more random variables, </w:t>
      </w:r>
      <w:r w:rsidR="00F42094" w:rsidRPr="00D601E8">
        <w:rPr>
          <w:highlight w:val="yellow"/>
        </w:rPr>
        <w:t>and this allowed</w:t>
      </w:r>
      <w:r w:rsidRPr="00D601E8">
        <w:rPr>
          <w:highlight w:val="yellow"/>
        </w:rPr>
        <w:t xml:space="preserve"> us to capture </w:t>
      </w:r>
      <w:r w:rsidR="00F42094" w:rsidRPr="00D601E8">
        <w:rPr>
          <w:highlight w:val="yellow"/>
        </w:rPr>
        <w:t xml:space="preserve">any </w:t>
      </w:r>
      <w:r w:rsidRPr="00D601E8">
        <w:rPr>
          <w:highlight w:val="yellow"/>
        </w:rPr>
        <w:t>complex dependencies that may exist between the S&amp;P500 index and US Treasury Bonds. In particular, copulas enable</w:t>
      </w:r>
      <w:r w:rsidR="00F42094" w:rsidRPr="00D601E8">
        <w:rPr>
          <w:highlight w:val="yellow"/>
        </w:rPr>
        <w:t>d</w:t>
      </w:r>
      <w:r w:rsidRPr="00D601E8">
        <w:rPr>
          <w:highlight w:val="yellow"/>
        </w:rPr>
        <w:t xml:space="preserve"> us to model the tail dependencies between the two assets, which are often crucial in assessing the risk of financial portfolios.</w:t>
      </w:r>
    </w:p>
    <w:p w14:paraId="6C98E6F3" w14:textId="77777777" w:rsidR="00F35374" w:rsidRPr="00D601E8" w:rsidRDefault="00F35374" w:rsidP="00F35374">
      <w:pPr>
        <w:rPr>
          <w:highlight w:val="yellow"/>
        </w:rPr>
      </w:pPr>
    </w:p>
    <w:p w14:paraId="40E0D87C" w14:textId="12F9CA19" w:rsidR="00F35374" w:rsidRPr="00D601E8" w:rsidRDefault="00F35374" w:rsidP="00F35374">
      <w:pPr>
        <w:rPr>
          <w:highlight w:val="yellow"/>
        </w:rPr>
      </w:pPr>
      <w:r w:rsidRPr="00D601E8">
        <w:rPr>
          <w:highlight w:val="yellow"/>
        </w:rPr>
        <w:t>We use</w:t>
      </w:r>
      <w:r w:rsidR="00F42094" w:rsidRPr="00D601E8">
        <w:rPr>
          <w:highlight w:val="yellow"/>
        </w:rPr>
        <w:t>d</w:t>
      </w:r>
      <w:r w:rsidRPr="00D601E8">
        <w:rPr>
          <w:highlight w:val="yellow"/>
        </w:rPr>
        <w:t xml:space="preserve"> various copula models to evaluate the dependence structure between the two assets, including Archimedean</w:t>
      </w:r>
      <w:r w:rsidR="00F42094" w:rsidRPr="00D601E8">
        <w:rPr>
          <w:highlight w:val="yellow"/>
        </w:rPr>
        <w:t xml:space="preserve"> and</w:t>
      </w:r>
      <w:r w:rsidRPr="00D601E8">
        <w:rPr>
          <w:highlight w:val="yellow"/>
        </w:rPr>
        <w:t xml:space="preserve"> elliptical</w:t>
      </w:r>
      <w:r w:rsidR="00F42094" w:rsidRPr="00D601E8">
        <w:rPr>
          <w:highlight w:val="yellow"/>
        </w:rPr>
        <w:t xml:space="preserve"> </w:t>
      </w:r>
      <w:r w:rsidRPr="00D601E8">
        <w:rPr>
          <w:highlight w:val="yellow"/>
        </w:rPr>
        <w:t xml:space="preserve">copulas. We </w:t>
      </w:r>
      <w:r w:rsidRPr="00D601E8">
        <w:rPr>
          <w:highlight w:val="yellow"/>
        </w:rPr>
        <w:t>analyse</w:t>
      </w:r>
      <w:r w:rsidR="00F42094" w:rsidRPr="00D601E8">
        <w:rPr>
          <w:highlight w:val="yellow"/>
        </w:rPr>
        <w:t>d</w:t>
      </w:r>
      <w:r w:rsidRPr="00D601E8">
        <w:rPr>
          <w:highlight w:val="yellow"/>
        </w:rPr>
        <w:t xml:space="preserve"> the goodness-of-fit of each model using statistical tests, such as the Kolmogorov-Smirnov test and the Cramer-von Mises test, to determine the most appropriate copula for our analysis.</w:t>
      </w:r>
    </w:p>
    <w:p w14:paraId="6DC9676B" w14:textId="77777777" w:rsidR="00F35374" w:rsidRPr="00D601E8" w:rsidRDefault="00F35374" w:rsidP="00F35374">
      <w:pPr>
        <w:rPr>
          <w:highlight w:val="yellow"/>
        </w:rPr>
      </w:pPr>
    </w:p>
    <w:p w14:paraId="318CC698" w14:textId="38B05761" w:rsidR="00F35374" w:rsidRDefault="00F35374" w:rsidP="00F35374">
      <w:r w:rsidRPr="00D601E8">
        <w:rPr>
          <w:highlight w:val="yellow"/>
        </w:rPr>
        <w:t xml:space="preserve">In summary, our methodology provides a comprehensive and flexible approach for </w:t>
      </w:r>
      <w:r w:rsidRPr="00D601E8">
        <w:rPr>
          <w:highlight w:val="yellow"/>
        </w:rPr>
        <w:t>modelling</w:t>
      </w:r>
      <w:r w:rsidRPr="00D601E8">
        <w:rPr>
          <w:highlight w:val="yellow"/>
        </w:rPr>
        <w:t xml:space="preserve"> the competing risks of a financial portfolio composed of the S&amp;P500 index and US Treasury Bonds using copulas. By utilizing this approach, we aim to provide valuable insights into the risk profile of the portfolio, which can guide investment decision-making.</w:t>
      </w:r>
    </w:p>
    <w:p w14:paraId="1BA06598" w14:textId="345534D1" w:rsidR="00F2581A" w:rsidRDefault="00B94B81" w:rsidP="00B94B81">
      <w:pPr>
        <w:pStyle w:val="Heading2"/>
      </w:pPr>
      <w:r>
        <w:lastRenderedPageBreak/>
        <w:t>Methods</w:t>
      </w:r>
    </w:p>
    <w:p w14:paraId="71F6D8D7" w14:textId="77777777" w:rsidR="00F2581A" w:rsidRDefault="00F2581A" w:rsidP="00F35374"/>
    <w:p w14:paraId="0D0D0744" w14:textId="3CB3E2B9" w:rsidR="00F2581A" w:rsidRDefault="007A128E" w:rsidP="00F35374">
      <w:r>
        <w:t xml:space="preserve">In order to fit a joint probability distribution to the data, we used a variety of different methodologies. Firstly, we assumed normality of the underlying marginal distributions, i.e. of the S&amp;P 500 Returns and then Bond Returns, and hence we fit the data using a Gaussian Multivariate Distribution. </w:t>
      </w:r>
      <w:r w:rsidR="00A76DB5">
        <w:t>This was done by calculating the means and covariance of the data, and from this we could then extract the probabilities of the portfolio returning less than our inputted values, using the CDF.</w:t>
      </w:r>
    </w:p>
    <w:p w14:paraId="632A0101" w14:textId="77777777" w:rsidR="00E272E6" w:rsidRDefault="00E272E6" w:rsidP="00F35374"/>
    <w:p w14:paraId="7F22D068" w14:textId="3D4B2167" w:rsidR="00E272E6" w:rsidRDefault="00E272E6" w:rsidP="00F35374">
      <w:r>
        <w:t>In a similar way, we next fit the data with a Gaussian Copula. The key difference between using a Gaussian Copula and a Gaussian Multivariate Distribution is that the multivariate distribution assumes that the underlying marginals are normally distributed. In contrast, the Gaussian Copula allows for the underlying marginals to be non-normally distributed, and in this case Student’s t-distributed.</w:t>
      </w:r>
      <w:r w:rsidR="009B6F2E">
        <w:t xml:space="preserve"> As a result of this, we expect that the extreme values in the tails of our distribution will be incorporated more</w:t>
      </w:r>
      <w:r w:rsidR="00FB5EE3">
        <w:t xml:space="preserve"> effectively</w:t>
      </w:r>
      <w:r w:rsidR="009B6F2E">
        <w:t xml:space="preserve"> into our probabilities. </w:t>
      </w:r>
    </w:p>
    <w:p w14:paraId="629EA51B" w14:textId="77777777" w:rsidR="00B94B81" w:rsidRDefault="00B94B81" w:rsidP="00F35374"/>
    <w:p w14:paraId="1ED20B82" w14:textId="15A79D89" w:rsidR="00B94B81" w:rsidRDefault="00B94B81" w:rsidP="00F35374">
      <w:r>
        <w:t xml:space="preserve">In order to compare these different methods of modelling probabilities of returns, we used financial data going back to the early 2000s, in particular before the 2008 financial crash. Copulas were (and in some cases still are) used to analyse risk associated with multi-asset portfolios, and </w:t>
      </w:r>
      <w:r w:rsidR="00DE54E0">
        <w:t>we aimed to simulate their shortcomings using the data that would have been available at the time. Hence, we trained our models using financial data from 2000-2007, and then tested using empirical probabilities of returns realised in 2008-2009.</w:t>
      </w:r>
    </w:p>
    <w:p w14:paraId="3EEC683D" w14:textId="77777777" w:rsidR="00B94B81" w:rsidRDefault="00B94B81" w:rsidP="00F35374"/>
    <w:p w14:paraId="3C88B22A" w14:textId="4679ED56" w:rsidR="00B94B81" w:rsidRDefault="00B94B81" w:rsidP="00B94B81">
      <w:pPr>
        <w:pStyle w:val="Heading2"/>
      </w:pPr>
      <w:r>
        <w:t>Results</w:t>
      </w:r>
    </w:p>
    <w:p w14:paraId="73E94141" w14:textId="77777777" w:rsidR="00B94B81" w:rsidRDefault="00B94B81" w:rsidP="00B94B81"/>
    <w:p w14:paraId="0294659C" w14:textId="78842EB7" w:rsidR="00B94B81" w:rsidRDefault="00B94B81" w:rsidP="00B94B81">
      <w:r>
        <w:t>The analysis of the benefits of using a Gaussian Multivariate Distribution and Copula</w:t>
      </w:r>
      <w:r>
        <w:t>s</w:t>
      </w:r>
      <w:r>
        <w:t xml:space="preserve"> to model the probability distribution of a financial portfolio containing a stock and a bond has produced some interesting results. As </w:t>
      </w:r>
      <w:r>
        <w:t>can be seen</w:t>
      </w:r>
      <w:r>
        <w:t xml:space="preserve"> in the output table</w:t>
      </w:r>
      <w:r>
        <w:t xml:space="preserve"> below</w:t>
      </w:r>
      <w:r>
        <w:t xml:space="preserve">, </w:t>
      </w:r>
      <w:r>
        <w:t xml:space="preserve">it is clear </w:t>
      </w:r>
      <w:r>
        <w:t xml:space="preserve">that the Gaussian Multivariate Distribution severely understates the probabilities of </w:t>
      </w:r>
      <w:r w:rsidR="005157BE">
        <w:t>extreme</w:t>
      </w:r>
      <w:r>
        <w:t xml:space="preserve"> returns from the portfolio</w:t>
      </w:r>
      <w:r>
        <w:t xml:space="preserve">, when compared with the Empirical Probabilities. </w:t>
      </w:r>
      <w:r w:rsidR="005157BE">
        <w:t xml:space="preserve">For example when we examine the tails of the distribution, i.e. </w:t>
      </w:r>
      <w:r>
        <w:t xml:space="preserve">the top and bottom 10 percentiles, the probabilities </w:t>
      </w:r>
      <w:r w:rsidR="005157BE">
        <w:t xml:space="preserve">given by our models </w:t>
      </w:r>
      <w:r>
        <w:t>are significantly lower than the empirical values.</w:t>
      </w:r>
    </w:p>
    <w:p w14:paraId="4CA97CF0" w14:textId="77777777" w:rsidR="006A78A1" w:rsidRDefault="006A78A1" w:rsidP="00B94B81"/>
    <w:tbl>
      <w:tblPr>
        <w:tblStyle w:val="TableGrid"/>
        <w:tblW w:w="0" w:type="auto"/>
        <w:tblLook w:val="04A0" w:firstRow="1" w:lastRow="0" w:firstColumn="1" w:lastColumn="0" w:noHBand="0" w:noVBand="1"/>
      </w:tblPr>
      <w:tblGrid>
        <w:gridCol w:w="2263"/>
        <w:gridCol w:w="2694"/>
        <w:gridCol w:w="2693"/>
        <w:gridCol w:w="1366"/>
      </w:tblGrid>
      <w:tr w:rsidR="00136D5E" w:rsidRPr="006A78A1" w14:paraId="3590B024" w14:textId="77777777" w:rsidTr="00136D5E">
        <w:trPr>
          <w:trHeight w:val="866"/>
        </w:trPr>
        <w:tc>
          <w:tcPr>
            <w:tcW w:w="2263" w:type="dxa"/>
            <w:vAlign w:val="center"/>
          </w:tcPr>
          <w:p w14:paraId="65B07758" w14:textId="4FCB33F4" w:rsidR="006A78A1" w:rsidRPr="006A78A1" w:rsidRDefault="006A78A1" w:rsidP="006A78A1">
            <w:pPr>
              <w:pStyle w:val="Heading2"/>
              <w:jc w:val="center"/>
              <w:rPr>
                <w:rFonts w:eastAsia="Times New Roman"/>
                <w:lang w:eastAsia="en-GB"/>
              </w:rPr>
            </w:pPr>
            <w:r w:rsidRPr="006A78A1">
              <w:rPr>
                <w:rFonts w:eastAsia="Times New Roman"/>
                <w:lang w:eastAsia="en-GB"/>
              </w:rPr>
              <w:t>Empirical Probabilities</w:t>
            </w:r>
          </w:p>
        </w:tc>
        <w:tc>
          <w:tcPr>
            <w:tcW w:w="2694" w:type="dxa"/>
            <w:vAlign w:val="center"/>
          </w:tcPr>
          <w:p w14:paraId="3DDF524C" w14:textId="54184816" w:rsidR="006A78A1" w:rsidRPr="006A78A1" w:rsidRDefault="006A78A1" w:rsidP="006A78A1">
            <w:pPr>
              <w:pStyle w:val="Heading2"/>
              <w:jc w:val="center"/>
              <w:rPr>
                <w:rFonts w:eastAsia="Times New Roman"/>
                <w:lang w:eastAsia="en-GB"/>
              </w:rPr>
            </w:pPr>
            <w:r w:rsidRPr="006A78A1">
              <w:rPr>
                <w:rFonts w:eastAsia="Times New Roman"/>
                <w:lang w:eastAsia="en-GB"/>
              </w:rPr>
              <w:t xml:space="preserve">Gaussian Copula Computed </w:t>
            </w:r>
            <w:r w:rsidRPr="006A78A1">
              <w:rPr>
                <w:rFonts w:eastAsia="Times New Roman"/>
                <w:lang w:eastAsia="en-GB"/>
              </w:rPr>
              <w:t>Probabilities</w:t>
            </w:r>
          </w:p>
        </w:tc>
        <w:tc>
          <w:tcPr>
            <w:tcW w:w="2693" w:type="dxa"/>
            <w:vAlign w:val="center"/>
          </w:tcPr>
          <w:p w14:paraId="3B64F398" w14:textId="01537AF8" w:rsidR="006A78A1" w:rsidRPr="006A78A1" w:rsidRDefault="006A78A1" w:rsidP="006A78A1">
            <w:pPr>
              <w:pStyle w:val="Heading2"/>
              <w:jc w:val="center"/>
              <w:rPr>
                <w:rFonts w:eastAsia="Times New Roman"/>
                <w:lang w:eastAsia="en-GB"/>
              </w:rPr>
            </w:pPr>
            <w:r w:rsidRPr="006A78A1">
              <w:rPr>
                <w:rFonts w:eastAsia="Times New Roman"/>
                <w:lang w:eastAsia="en-GB"/>
              </w:rPr>
              <w:t>Multivariate</w:t>
            </w:r>
            <w:r w:rsidRPr="006A78A1">
              <w:rPr>
                <w:rFonts w:eastAsia="Times New Roman"/>
                <w:lang w:eastAsia="en-GB"/>
              </w:rPr>
              <w:t xml:space="preserve"> Gaussian Computed Probabilities</w:t>
            </w:r>
          </w:p>
        </w:tc>
        <w:tc>
          <w:tcPr>
            <w:tcW w:w="1366" w:type="dxa"/>
            <w:vAlign w:val="center"/>
          </w:tcPr>
          <w:p w14:paraId="2AE1DAB9" w14:textId="3A43F8C1" w:rsidR="006A78A1" w:rsidRPr="006A78A1" w:rsidRDefault="006A78A1" w:rsidP="006A78A1">
            <w:pPr>
              <w:pStyle w:val="Heading2"/>
              <w:jc w:val="center"/>
              <w:rPr>
                <w:rFonts w:eastAsia="Times New Roman"/>
                <w:lang w:eastAsia="en-GB"/>
              </w:rPr>
            </w:pPr>
            <w:r w:rsidRPr="006A78A1">
              <w:rPr>
                <w:rFonts w:eastAsia="Times New Roman"/>
                <w:lang w:eastAsia="en-GB"/>
              </w:rPr>
              <w:t>Percentile</w:t>
            </w:r>
          </w:p>
        </w:tc>
      </w:tr>
      <w:tr w:rsidR="006A78A1" w:rsidRPr="006A78A1" w14:paraId="1374F9D2" w14:textId="77777777" w:rsidTr="00136D5E">
        <w:trPr>
          <w:trHeight w:val="283"/>
        </w:trPr>
        <w:tc>
          <w:tcPr>
            <w:tcW w:w="2263" w:type="dxa"/>
            <w:vAlign w:val="center"/>
            <w:hideMark/>
          </w:tcPr>
          <w:p w14:paraId="7AB564CE" w14:textId="77777777" w:rsidR="006A78A1" w:rsidRPr="006A78A1" w:rsidRDefault="006A78A1" w:rsidP="006A78A1">
            <w:pPr>
              <w:jc w:val="center"/>
              <w:rPr>
                <w:lang w:eastAsia="en-GB"/>
              </w:rPr>
            </w:pPr>
            <w:r w:rsidRPr="006A78A1">
              <w:rPr>
                <w:lang w:eastAsia="en-GB"/>
              </w:rPr>
              <w:t>0.001912</w:t>
            </w:r>
          </w:p>
        </w:tc>
        <w:tc>
          <w:tcPr>
            <w:tcW w:w="2694" w:type="dxa"/>
            <w:vAlign w:val="center"/>
            <w:hideMark/>
          </w:tcPr>
          <w:p w14:paraId="1BE93E81" w14:textId="77777777" w:rsidR="006A78A1" w:rsidRPr="006A78A1" w:rsidRDefault="006A78A1" w:rsidP="006A78A1">
            <w:pPr>
              <w:jc w:val="center"/>
              <w:rPr>
                <w:lang w:eastAsia="en-GB"/>
              </w:rPr>
            </w:pPr>
            <w:r w:rsidRPr="006A78A1">
              <w:rPr>
                <w:lang w:eastAsia="en-GB"/>
              </w:rPr>
              <w:t>0.000158</w:t>
            </w:r>
          </w:p>
        </w:tc>
        <w:tc>
          <w:tcPr>
            <w:tcW w:w="2693" w:type="dxa"/>
            <w:vAlign w:val="center"/>
            <w:hideMark/>
          </w:tcPr>
          <w:p w14:paraId="5E0FA484" w14:textId="77777777" w:rsidR="006A78A1" w:rsidRPr="006A78A1" w:rsidRDefault="006A78A1" w:rsidP="006A78A1">
            <w:pPr>
              <w:jc w:val="center"/>
              <w:rPr>
                <w:lang w:eastAsia="en-GB"/>
              </w:rPr>
            </w:pPr>
            <w:r w:rsidRPr="006A78A1">
              <w:rPr>
                <w:lang w:eastAsia="en-GB"/>
              </w:rPr>
              <w:t>0.000004</w:t>
            </w:r>
          </w:p>
        </w:tc>
        <w:tc>
          <w:tcPr>
            <w:tcW w:w="1366" w:type="dxa"/>
            <w:vAlign w:val="center"/>
            <w:hideMark/>
          </w:tcPr>
          <w:p w14:paraId="19274B00" w14:textId="77777777" w:rsidR="006A78A1" w:rsidRPr="006A78A1" w:rsidRDefault="006A78A1" w:rsidP="006A78A1">
            <w:pPr>
              <w:jc w:val="center"/>
              <w:rPr>
                <w:lang w:eastAsia="en-GB"/>
              </w:rPr>
            </w:pPr>
            <w:r w:rsidRPr="006A78A1">
              <w:rPr>
                <w:lang w:eastAsia="en-GB"/>
              </w:rPr>
              <w:t>0.05</w:t>
            </w:r>
          </w:p>
        </w:tc>
      </w:tr>
      <w:tr w:rsidR="006A78A1" w:rsidRPr="006A78A1" w14:paraId="43223914" w14:textId="77777777" w:rsidTr="00136D5E">
        <w:trPr>
          <w:trHeight w:val="283"/>
        </w:trPr>
        <w:tc>
          <w:tcPr>
            <w:tcW w:w="2263" w:type="dxa"/>
            <w:vAlign w:val="center"/>
            <w:hideMark/>
          </w:tcPr>
          <w:p w14:paraId="75A589F2" w14:textId="77777777" w:rsidR="006A78A1" w:rsidRPr="006A78A1" w:rsidRDefault="006A78A1" w:rsidP="006A78A1">
            <w:pPr>
              <w:jc w:val="center"/>
              <w:rPr>
                <w:lang w:eastAsia="en-GB"/>
              </w:rPr>
            </w:pPr>
            <w:r w:rsidRPr="006A78A1">
              <w:rPr>
                <w:lang w:eastAsia="en-GB"/>
              </w:rPr>
              <w:t>0.007648</w:t>
            </w:r>
          </w:p>
        </w:tc>
        <w:tc>
          <w:tcPr>
            <w:tcW w:w="2694" w:type="dxa"/>
            <w:vAlign w:val="center"/>
            <w:hideMark/>
          </w:tcPr>
          <w:p w14:paraId="6AA9FBDA" w14:textId="77777777" w:rsidR="006A78A1" w:rsidRPr="006A78A1" w:rsidRDefault="006A78A1" w:rsidP="006A78A1">
            <w:pPr>
              <w:jc w:val="center"/>
              <w:rPr>
                <w:lang w:eastAsia="en-GB"/>
              </w:rPr>
            </w:pPr>
            <w:r w:rsidRPr="006A78A1">
              <w:rPr>
                <w:lang w:eastAsia="en-GB"/>
              </w:rPr>
              <w:t>0.001002</w:t>
            </w:r>
          </w:p>
        </w:tc>
        <w:tc>
          <w:tcPr>
            <w:tcW w:w="2693" w:type="dxa"/>
            <w:vAlign w:val="center"/>
            <w:hideMark/>
          </w:tcPr>
          <w:p w14:paraId="162FCC9D" w14:textId="77777777" w:rsidR="006A78A1" w:rsidRPr="006A78A1" w:rsidRDefault="006A78A1" w:rsidP="006A78A1">
            <w:pPr>
              <w:jc w:val="center"/>
              <w:rPr>
                <w:lang w:eastAsia="en-GB"/>
              </w:rPr>
            </w:pPr>
            <w:r w:rsidRPr="006A78A1">
              <w:rPr>
                <w:lang w:eastAsia="en-GB"/>
              </w:rPr>
              <w:t>0.000466</w:t>
            </w:r>
          </w:p>
        </w:tc>
        <w:tc>
          <w:tcPr>
            <w:tcW w:w="1366" w:type="dxa"/>
            <w:vAlign w:val="center"/>
            <w:hideMark/>
          </w:tcPr>
          <w:p w14:paraId="42C96486" w14:textId="77777777" w:rsidR="006A78A1" w:rsidRPr="006A78A1" w:rsidRDefault="006A78A1" w:rsidP="006A78A1">
            <w:pPr>
              <w:jc w:val="center"/>
              <w:rPr>
                <w:lang w:eastAsia="en-GB"/>
              </w:rPr>
            </w:pPr>
            <w:r w:rsidRPr="006A78A1">
              <w:rPr>
                <w:lang w:eastAsia="en-GB"/>
              </w:rPr>
              <w:t>0.10</w:t>
            </w:r>
          </w:p>
        </w:tc>
      </w:tr>
      <w:tr w:rsidR="006A78A1" w:rsidRPr="006A78A1" w14:paraId="071A03C7" w14:textId="77777777" w:rsidTr="00136D5E">
        <w:trPr>
          <w:trHeight w:val="283"/>
        </w:trPr>
        <w:tc>
          <w:tcPr>
            <w:tcW w:w="2263" w:type="dxa"/>
            <w:vAlign w:val="center"/>
            <w:hideMark/>
          </w:tcPr>
          <w:p w14:paraId="4A69DA13" w14:textId="77777777" w:rsidR="006A78A1" w:rsidRPr="006A78A1" w:rsidRDefault="006A78A1" w:rsidP="006A78A1">
            <w:pPr>
              <w:jc w:val="center"/>
              <w:rPr>
                <w:lang w:eastAsia="en-GB"/>
              </w:rPr>
            </w:pPr>
            <w:r w:rsidRPr="006A78A1">
              <w:rPr>
                <w:lang w:eastAsia="en-GB"/>
              </w:rPr>
              <w:t>0.019120</w:t>
            </w:r>
          </w:p>
        </w:tc>
        <w:tc>
          <w:tcPr>
            <w:tcW w:w="2694" w:type="dxa"/>
            <w:vAlign w:val="center"/>
            <w:hideMark/>
          </w:tcPr>
          <w:p w14:paraId="59DFF6A6" w14:textId="77777777" w:rsidR="006A78A1" w:rsidRPr="006A78A1" w:rsidRDefault="006A78A1" w:rsidP="006A78A1">
            <w:pPr>
              <w:jc w:val="center"/>
              <w:rPr>
                <w:lang w:eastAsia="en-GB"/>
              </w:rPr>
            </w:pPr>
            <w:r w:rsidRPr="006A78A1">
              <w:rPr>
                <w:lang w:eastAsia="en-GB"/>
              </w:rPr>
              <w:t>0.002903</w:t>
            </w:r>
          </w:p>
        </w:tc>
        <w:tc>
          <w:tcPr>
            <w:tcW w:w="2693" w:type="dxa"/>
            <w:vAlign w:val="center"/>
            <w:hideMark/>
          </w:tcPr>
          <w:p w14:paraId="00061FCA" w14:textId="77777777" w:rsidR="006A78A1" w:rsidRPr="006A78A1" w:rsidRDefault="006A78A1" w:rsidP="006A78A1">
            <w:pPr>
              <w:jc w:val="center"/>
              <w:rPr>
                <w:lang w:eastAsia="en-GB"/>
              </w:rPr>
            </w:pPr>
            <w:r w:rsidRPr="006A78A1">
              <w:rPr>
                <w:lang w:eastAsia="en-GB"/>
              </w:rPr>
              <w:t>0.002860</w:t>
            </w:r>
          </w:p>
        </w:tc>
        <w:tc>
          <w:tcPr>
            <w:tcW w:w="1366" w:type="dxa"/>
            <w:vAlign w:val="center"/>
            <w:hideMark/>
          </w:tcPr>
          <w:p w14:paraId="05FE47ED" w14:textId="77777777" w:rsidR="006A78A1" w:rsidRPr="006A78A1" w:rsidRDefault="006A78A1" w:rsidP="006A78A1">
            <w:pPr>
              <w:jc w:val="center"/>
              <w:rPr>
                <w:lang w:eastAsia="en-GB"/>
              </w:rPr>
            </w:pPr>
            <w:r w:rsidRPr="006A78A1">
              <w:rPr>
                <w:lang w:eastAsia="en-GB"/>
              </w:rPr>
              <w:t>0.15</w:t>
            </w:r>
          </w:p>
        </w:tc>
      </w:tr>
      <w:tr w:rsidR="006A78A1" w:rsidRPr="006A78A1" w14:paraId="5A5B424C" w14:textId="77777777" w:rsidTr="00136D5E">
        <w:trPr>
          <w:trHeight w:val="283"/>
        </w:trPr>
        <w:tc>
          <w:tcPr>
            <w:tcW w:w="2263" w:type="dxa"/>
            <w:vAlign w:val="center"/>
            <w:hideMark/>
          </w:tcPr>
          <w:p w14:paraId="4E4697F9" w14:textId="77777777" w:rsidR="006A78A1" w:rsidRPr="006A78A1" w:rsidRDefault="006A78A1" w:rsidP="006A78A1">
            <w:pPr>
              <w:jc w:val="center"/>
              <w:rPr>
                <w:lang w:eastAsia="en-GB"/>
              </w:rPr>
            </w:pPr>
            <w:r w:rsidRPr="006A78A1">
              <w:rPr>
                <w:lang w:eastAsia="en-GB"/>
              </w:rPr>
              <w:t>0.028681</w:t>
            </w:r>
          </w:p>
        </w:tc>
        <w:tc>
          <w:tcPr>
            <w:tcW w:w="2694" w:type="dxa"/>
            <w:vAlign w:val="center"/>
            <w:hideMark/>
          </w:tcPr>
          <w:p w14:paraId="0541064B" w14:textId="77777777" w:rsidR="006A78A1" w:rsidRPr="006A78A1" w:rsidRDefault="006A78A1" w:rsidP="006A78A1">
            <w:pPr>
              <w:jc w:val="center"/>
              <w:rPr>
                <w:lang w:eastAsia="en-GB"/>
              </w:rPr>
            </w:pPr>
            <w:r w:rsidRPr="006A78A1">
              <w:rPr>
                <w:lang w:eastAsia="en-GB"/>
              </w:rPr>
              <w:t>0.009086</w:t>
            </w:r>
          </w:p>
        </w:tc>
        <w:tc>
          <w:tcPr>
            <w:tcW w:w="2693" w:type="dxa"/>
            <w:vAlign w:val="center"/>
            <w:hideMark/>
          </w:tcPr>
          <w:p w14:paraId="2A9B1C8D" w14:textId="77777777" w:rsidR="006A78A1" w:rsidRPr="006A78A1" w:rsidRDefault="006A78A1" w:rsidP="006A78A1">
            <w:pPr>
              <w:jc w:val="center"/>
              <w:rPr>
                <w:lang w:eastAsia="en-GB"/>
              </w:rPr>
            </w:pPr>
            <w:r w:rsidRPr="006A78A1">
              <w:rPr>
                <w:lang w:eastAsia="en-GB"/>
              </w:rPr>
              <w:t>0.012417</w:t>
            </w:r>
          </w:p>
        </w:tc>
        <w:tc>
          <w:tcPr>
            <w:tcW w:w="1366" w:type="dxa"/>
            <w:vAlign w:val="center"/>
            <w:hideMark/>
          </w:tcPr>
          <w:p w14:paraId="1BA314A2" w14:textId="77777777" w:rsidR="006A78A1" w:rsidRPr="006A78A1" w:rsidRDefault="006A78A1" w:rsidP="006A78A1">
            <w:pPr>
              <w:jc w:val="center"/>
              <w:rPr>
                <w:lang w:eastAsia="en-GB"/>
              </w:rPr>
            </w:pPr>
            <w:r w:rsidRPr="006A78A1">
              <w:rPr>
                <w:lang w:eastAsia="en-GB"/>
              </w:rPr>
              <w:t>0.20</w:t>
            </w:r>
          </w:p>
        </w:tc>
      </w:tr>
      <w:tr w:rsidR="006A78A1" w:rsidRPr="006A78A1" w14:paraId="74E8C70A" w14:textId="77777777" w:rsidTr="00136D5E">
        <w:trPr>
          <w:trHeight w:val="283"/>
        </w:trPr>
        <w:tc>
          <w:tcPr>
            <w:tcW w:w="2263" w:type="dxa"/>
            <w:vAlign w:val="center"/>
            <w:hideMark/>
          </w:tcPr>
          <w:p w14:paraId="1DBC6D09" w14:textId="77777777" w:rsidR="006A78A1" w:rsidRPr="006A78A1" w:rsidRDefault="006A78A1" w:rsidP="006A78A1">
            <w:pPr>
              <w:jc w:val="center"/>
              <w:rPr>
                <w:lang w:eastAsia="en-GB"/>
              </w:rPr>
            </w:pPr>
            <w:r w:rsidRPr="006A78A1">
              <w:rPr>
                <w:lang w:eastAsia="en-GB"/>
              </w:rPr>
              <w:t>0.047801</w:t>
            </w:r>
          </w:p>
        </w:tc>
        <w:tc>
          <w:tcPr>
            <w:tcW w:w="2694" w:type="dxa"/>
            <w:vAlign w:val="center"/>
            <w:hideMark/>
          </w:tcPr>
          <w:p w14:paraId="60AFAE23" w14:textId="77777777" w:rsidR="006A78A1" w:rsidRPr="006A78A1" w:rsidRDefault="006A78A1" w:rsidP="006A78A1">
            <w:pPr>
              <w:jc w:val="center"/>
              <w:rPr>
                <w:lang w:eastAsia="en-GB"/>
              </w:rPr>
            </w:pPr>
            <w:r w:rsidRPr="006A78A1">
              <w:rPr>
                <w:lang w:eastAsia="en-GB"/>
              </w:rPr>
              <w:t>0.020151</w:t>
            </w:r>
          </w:p>
        </w:tc>
        <w:tc>
          <w:tcPr>
            <w:tcW w:w="2693" w:type="dxa"/>
            <w:vAlign w:val="center"/>
            <w:hideMark/>
          </w:tcPr>
          <w:p w14:paraId="4EB85393" w14:textId="77777777" w:rsidR="006A78A1" w:rsidRPr="006A78A1" w:rsidRDefault="006A78A1" w:rsidP="006A78A1">
            <w:pPr>
              <w:jc w:val="center"/>
              <w:rPr>
                <w:lang w:eastAsia="en-GB"/>
              </w:rPr>
            </w:pPr>
            <w:r w:rsidRPr="006A78A1">
              <w:rPr>
                <w:lang w:eastAsia="en-GB"/>
              </w:rPr>
              <w:t>0.028293</w:t>
            </w:r>
          </w:p>
        </w:tc>
        <w:tc>
          <w:tcPr>
            <w:tcW w:w="1366" w:type="dxa"/>
            <w:vAlign w:val="center"/>
            <w:hideMark/>
          </w:tcPr>
          <w:p w14:paraId="106B0699" w14:textId="77777777" w:rsidR="006A78A1" w:rsidRPr="006A78A1" w:rsidRDefault="006A78A1" w:rsidP="006A78A1">
            <w:pPr>
              <w:jc w:val="center"/>
              <w:rPr>
                <w:lang w:eastAsia="en-GB"/>
              </w:rPr>
            </w:pPr>
            <w:r w:rsidRPr="006A78A1">
              <w:rPr>
                <w:lang w:eastAsia="en-GB"/>
              </w:rPr>
              <w:t>0.25</w:t>
            </w:r>
          </w:p>
        </w:tc>
      </w:tr>
      <w:tr w:rsidR="006A78A1" w:rsidRPr="006A78A1" w14:paraId="5A8DD76C" w14:textId="77777777" w:rsidTr="00136D5E">
        <w:trPr>
          <w:trHeight w:val="283"/>
        </w:trPr>
        <w:tc>
          <w:tcPr>
            <w:tcW w:w="2263" w:type="dxa"/>
            <w:vAlign w:val="center"/>
            <w:hideMark/>
          </w:tcPr>
          <w:p w14:paraId="313FF06D" w14:textId="77777777" w:rsidR="006A78A1" w:rsidRPr="006A78A1" w:rsidRDefault="006A78A1" w:rsidP="006A78A1">
            <w:pPr>
              <w:jc w:val="center"/>
              <w:rPr>
                <w:lang w:eastAsia="en-GB"/>
              </w:rPr>
            </w:pPr>
            <w:r w:rsidRPr="006A78A1">
              <w:rPr>
                <w:lang w:eastAsia="en-GB"/>
              </w:rPr>
              <w:t>0.072658</w:t>
            </w:r>
          </w:p>
        </w:tc>
        <w:tc>
          <w:tcPr>
            <w:tcW w:w="2694" w:type="dxa"/>
            <w:vAlign w:val="center"/>
            <w:hideMark/>
          </w:tcPr>
          <w:p w14:paraId="7CF75910" w14:textId="77777777" w:rsidR="006A78A1" w:rsidRPr="006A78A1" w:rsidRDefault="006A78A1" w:rsidP="006A78A1">
            <w:pPr>
              <w:jc w:val="center"/>
              <w:rPr>
                <w:lang w:eastAsia="en-GB"/>
              </w:rPr>
            </w:pPr>
            <w:r w:rsidRPr="006A78A1">
              <w:rPr>
                <w:lang w:eastAsia="en-GB"/>
              </w:rPr>
              <w:t>0.043013</w:t>
            </w:r>
          </w:p>
        </w:tc>
        <w:tc>
          <w:tcPr>
            <w:tcW w:w="2693" w:type="dxa"/>
            <w:vAlign w:val="center"/>
            <w:hideMark/>
          </w:tcPr>
          <w:p w14:paraId="3820C85A" w14:textId="77777777" w:rsidR="006A78A1" w:rsidRPr="006A78A1" w:rsidRDefault="006A78A1" w:rsidP="006A78A1">
            <w:pPr>
              <w:jc w:val="center"/>
              <w:rPr>
                <w:lang w:eastAsia="en-GB"/>
              </w:rPr>
            </w:pPr>
            <w:r w:rsidRPr="006A78A1">
              <w:rPr>
                <w:lang w:eastAsia="en-GB"/>
              </w:rPr>
              <w:t>0.055975</w:t>
            </w:r>
          </w:p>
        </w:tc>
        <w:tc>
          <w:tcPr>
            <w:tcW w:w="1366" w:type="dxa"/>
            <w:vAlign w:val="center"/>
            <w:hideMark/>
          </w:tcPr>
          <w:p w14:paraId="5CB3032E" w14:textId="77777777" w:rsidR="006A78A1" w:rsidRPr="006A78A1" w:rsidRDefault="006A78A1" w:rsidP="006A78A1">
            <w:pPr>
              <w:jc w:val="center"/>
              <w:rPr>
                <w:lang w:eastAsia="en-GB"/>
              </w:rPr>
            </w:pPr>
            <w:r w:rsidRPr="006A78A1">
              <w:rPr>
                <w:lang w:eastAsia="en-GB"/>
              </w:rPr>
              <w:t>0.30</w:t>
            </w:r>
          </w:p>
        </w:tc>
      </w:tr>
      <w:tr w:rsidR="006A78A1" w:rsidRPr="006A78A1" w14:paraId="02BDA0C5" w14:textId="77777777" w:rsidTr="00136D5E">
        <w:trPr>
          <w:trHeight w:val="283"/>
        </w:trPr>
        <w:tc>
          <w:tcPr>
            <w:tcW w:w="2263" w:type="dxa"/>
            <w:vAlign w:val="center"/>
            <w:hideMark/>
          </w:tcPr>
          <w:p w14:paraId="7FEDA8D8" w14:textId="77777777" w:rsidR="006A78A1" w:rsidRPr="006A78A1" w:rsidRDefault="006A78A1" w:rsidP="006A78A1">
            <w:pPr>
              <w:jc w:val="center"/>
              <w:rPr>
                <w:lang w:eastAsia="en-GB"/>
              </w:rPr>
            </w:pPr>
            <w:r w:rsidRPr="006A78A1">
              <w:rPr>
                <w:lang w:eastAsia="en-GB"/>
              </w:rPr>
              <w:t>0.103250</w:t>
            </w:r>
          </w:p>
        </w:tc>
        <w:tc>
          <w:tcPr>
            <w:tcW w:w="2694" w:type="dxa"/>
            <w:vAlign w:val="center"/>
            <w:hideMark/>
          </w:tcPr>
          <w:p w14:paraId="5B73646C" w14:textId="77777777" w:rsidR="006A78A1" w:rsidRPr="006A78A1" w:rsidRDefault="006A78A1" w:rsidP="006A78A1">
            <w:pPr>
              <w:jc w:val="center"/>
              <w:rPr>
                <w:lang w:eastAsia="en-GB"/>
              </w:rPr>
            </w:pPr>
            <w:r w:rsidRPr="006A78A1">
              <w:rPr>
                <w:lang w:eastAsia="en-GB"/>
              </w:rPr>
              <w:t>0.087566</w:t>
            </w:r>
          </w:p>
        </w:tc>
        <w:tc>
          <w:tcPr>
            <w:tcW w:w="2693" w:type="dxa"/>
            <w:vAlign w:val="center"/>
            <w:hideMark/>
          </w:tcPr>
          <w:p w14:paraId="74E06A1C" w14:textId="77777777" w:rsidR="006A78A1" w:rsidRPr="006A78A1" w:rsidRDefault="006A78A1" w:rsidP="006A78A1">
            <w:pPr>
              <w:jc w:val="center"/>
              <w:rPr>
                <w:lang w:eastAsia="en-GB"/>
              </w:rPr>
            </w:pPr>
            <w:r w:rsidRPr="006A78A1">
              <w:rPr>
                <w:lang w:eastAsia="en-GB"/>
              </w:rPr>
              <w:t>0.099104</w:t>
            </w:r>
          </w:p>
        </w:tc>
        <w:tc>
          <w:tcPr>
            <w:tcW w:w="1366" w:type="dxa"/>
            <w:vAlign w:val="center"/>
            <w:hideMark/>
          </w:tcPr>
          <w:p w14:paraId="60539D12" w14:textId="77777777" w:rsidR="006A78A1" w:rsidRPr="006A78A1" w:rsidRDefault="006A78A1" w:rsidP="006A78A1">
            <w:pPr>
              <w:jc w:val="center"/>
              <w:rPr>
                <w:lang w:eastAsia="en-GB"/>
              </w:rPr>
            </w:pPr>
            <w:r w:rsidRPr="006A78A1">
              <w:rPr>
                <w:lang w:eastAsia="en-GB"/>
              </w:rPr>
              <w:t>0.35</w:t>
            </w:r>
          </w:p>
        </w:tc>
      </w:tr>
      <w:tr w:rsidR="006A78A1" w:rsidRPr="006A78A1" w14:paraId="69F0B471" w14:textId="77777777" w:rsidTr="00136D5E">
        <w:trPr>
          <w:trHeight w:val="283"/>
        </w:trPr>
        <w:tc>
          <w:tcPr>
            <w:tcW w:w="2263" w:type="dxa"/>
            <w:vAlign w:val="center"/>
            <w:hideMark/>
          </w:tcPr>
          <w:p w14:paraId="4625526B" w14:textId="77777777" w:rsidR="006A78A1" w:rsidRPr="006A78A1" w:rsidRDefault="006A78A1" w:rsidP="006A78A1">
            <w:pPr>
              <w:jc w:val="center"/>
              <w:rPr>
                <w:lang w:eastAsia="en-GB"/>
              </w:rPr>
            </w:pPr>
            <w:r w:rsidRPr="006A78A1">
              <w:rPr>
                <w:lang w:eastAsia="en-GB"/>
              </w:rPr>
              <w:t>0.130019</w:t>
            </w:r>
          </w:p>
        </w:tc>
        <w:tc>
          <w:tcPr>
            <w:tcW w:w="2694" w:type="dxa"/>
            <w:vAlign w:val="center"/>
            <w:hideMark/>
          </w:tcPr>
          <w:p w14:paraId="20D7A452" w14:textId="77777777" w:rsidR="006A78A1" w:rsidRPr="006A78A1" w:rsidRDefault="006A78A1" w:rsidP="006A78A1">
            <w:pPr>
              <w:jc w:val="center"/>
              <w:rPr>
                <w:lang w:eastAsia="en-GB"/>
              </w:rPr>
            </w:pPr>
            <w:r w:rsidRPr="006A78A1">
              <w:rPr>
                <w:lang w:eastAsia="en-GB"/>
              </w:rPr>
              <w:t>0.145100</w:t>
            </w:r>
          </w:p>
        </w:tc>
        <w:tc>
          <w:tcPr>
            <w:tcW w:w="2693" w:type="dxa"/>
            <w:vAlign w:val="center"/>
            <w:hideMark/>
          </w:tcPr>
          <w:p w14:paraId="0BC7A247" w14:textId="77777777" w:rsidR="006A78A1" w:rsidRPr="006A78A1" w:rsidRDefault="006A78A1" w:rsidP="006A78A1">
            <w:pPr>
              <w:jc w:val="center"/>
              <w:rPr>
                <w:lang w:eastAsia="en-GB"/>
              </w:rPr>
            </w:pPr>
            <w:r w:rsidRPr="006A78A1">
              <w:rPr>
                <w:lang w:eastAsia="en-GB"/>
              </w:rPr>
              <w:t>0.147149</w:t>
            </w:r>
          </w:p>
        </w:tc>
        <w:tc>
          <w:tcPr>
            <w:tcW w:w="1366" w:type="dxa"/>
            <w:vAlign w:val="center"/>
            <w:hideMark/>
          </w:tcPr>
          <w:p w14:paraId="04A93206" w14:textId="77777777" w:rsidR="006A78A1" w:rsidRPr="006A78A1" w:rsidRDefault="006A78A1" w:rsidP="006A78A1">
            <w:pPr>
              <w:jc w:val="center"/>
              <w:rPr>
                <w:lang w:eastAsia="en-GB"/>
              </w:rPr>
            </w:pPr>
            <w:r w:rsidRPr="006A78A1">
              <w:rPr>
                <w:lang w:eastAsia="en-GB"/>
              </w:rPr>
              <w:t>0.40</w:t>
            </w:r>
          </w:p>
        </w:tc>
      </w:tr>
      <w:tr w:rsidR="006A78A1" w:rsidRPr="006A78A1" w14:paraId="1022444D" w14:textId="77777777" w:rsidTr="00136D5E">
        <w:trPr>
          <w:trHeight w:val="283"/>
        </w:trPr>
        <w:tc>
          <w:tcPr>
            <w:tcW w:w="2263" w:type="dxa"/>
            <w:vAlign w:val="center"/>
            <w:hideMark/>
          </w:tcPr>
          <w:p w14:paraId="14D33BFA" w14:textId="77777777" w:rsidR="006A78A1" w:rsidRPr="006A78A1" w:rsidRDefault="006A78A1" w:rsidP="006A78A1">
            <w:pPr>
              <w:jc w:val="center"/>
              <w:rPr>
                <w:lang w:eastAsia="en-GB"/>
              </w:rPr>
            </w:pPr>
            <w:r w:rsidRPr="006A78A1">
              <w:rPr>
                <w:lang w:eastAsia="en-GB"/>
              </w:rPr>
              <w:t>0.175908</w:t>
            </w:r>
          </w:p>
        </w:tc>
        <w:tc>
          <w:tcPr>
            <w:tcW w:w="2694" w:type="dxa"/>
            <w:vAlign w:val="center"/>
            <w:hideMark/>
          </w:tcPr>
          <w:p w14:paraId="06B0B4B9" w14:textId="77777777" w:rsidR="006A78A1" w:rsidRPr="006A78A1" w:rsidRDefault="006A78A1" w:rsidP="006A78A1">
            <w:pPr>
              <w:jc w:val="center"/>
              <w:rPr>
                <w:lang w:eastAsia="en-GB"/>
              </w:rPr>
            </w:pPr>
            <w:r w:rsidRPr="006A78A1">
              <w:rPr>
                <w:lang w:eastAsia="en-GB"/>
              </w:rPr>
              <w:t>0.208382</w:t>
            </w:r>
          </w:p>
        </w:tc>
        <w:tc>
          <w:tcPr>
            <w:tcW w:w="2693" w:type="dxa"/>
            <w:vAlign w:val="center"/>
            <w:hideMark/>
          </w:tcPr>
          <w:p w14:paraId="4411DAF3" w14:textId="77777777" w:rsidR="006A78A1" w:rsidRPr="006A78A1" w:rsidRDefault="006A78A1" w:rsidP="006A78A1">
            <w:pPr>
              <w:jc w:val="center"/>
              <w:rPr>
                <w:lang w:eastAsia="en-GB"/>
              </w:rPr>
            </w:pPr>
            <w:r w:rsidRPr="006A78A1">
              <w:rPr>
                <w:lang w:eastAsia="en-GB"/>
              </w:rPr>
              <w:t>0.194912</w:t>
            </w:r>
          </w:p>
        </w:tc>
        <w:tc>
          <w:tcPr>
            <w:tcW w:w="1366" w:type="dxa"/>
            <w:vAlign w:val="center"/>
            <w:hideMark/>
          </w:tcPr>
          <w:p w14:paraId="7C096986" w14:textId="77777777" w:rsidR="006A78A1" w:rsidRPr="006A78A1" w:rsidRDefault="006A78A1" w:rsidP="006A78A1">
            <w:pPr>
              <w:jc w:val="center"/>
              <w:rPr>
                <w:lang w:eastAsia="en-GB"/>
              </w:rPr>
            </w:pPr>
            <w:r w:rsidRPr="006A78A1">
              <w:rPr>
                <w:lang w:eastAsia="en-GB"/>
              </w:rPr>
              <w:t>0.45</w:t>
            </w:r>
          </w:p>
        </w:tc>
      </w:tr>
      <w:tr w:rsidR="006A78A1" w:rsidRPr="006A78A1" w14:paraId="1DAD2A9A" w14:textId="77777777" w:rsidTr="00136D5E">
        <w:trPr>
          <w:trHeight w:val="283"/>
        </w:trPr>
        <w:tc>
          <w:tcPr>
            <w:tcW w:w="2263" w:type="dxa"/>
            <w:vAlign w:val="center"/>
            <w:hideMark/>
          </w:tcPr>
          <w:p w14:paraId="3F4F17DD" w14:textId="77777777" w:rsidR="006A78A1" w:rsidRPr="006A78A1" w:rsidRDefault="006A78A1" w:rsidP="006A78A1">
            <w:pPr>
              <w:jc w:val="center"/>
              <w:rPr>
                <w:lang w:eastAsia="en-GB"/>
              </w:rPr>
            </w:pPr>
            <w:r w:rsidRPr="006A78A1">
              <w:rPr>
                <w:lang w:eastAsia="en-GB"/>
              </w:rPr>
              <w:t>0.233270</w:t>
            </w:r>
          </w:p>
        </w:tc>
        <w:tc>
          <w:tcPr>
            <w:tcW w:w="2694" w:type="dxa"/>
            <w:vAlign w:val="center"/>
            <w:hideMark/>
          </w:tcPr>
          <w:p w14:paraId="58534CFB" w14:textId="77777777" w:rsidR="006A78A1" w:rsidRPr="006A78A1" w:rsidRDefault="006A78A1" w:rsidP="006A78A1">
            <w:pPr>
              <w:jc w:val="center"/>
              <w:rPr>
                <w:lang w:eastAsia="en-GB"/>
              </w:rPr>
            </w:pPr>
            <w:r w:rsidRPr="006A78A1">
              <w:rPr>
                <w:lang w:eastAsia="en-GB"/>
              </w:rPr>
              <w:t>0.250169</w:t>
            </w:r>
          </w:p>
        </w:tc>
        <w:tc>
          <w:tcPr>
            <w:tcW w:w="2693" w:type="dxa"/>
            <w:vAlign w:val="center"/>
            <w:hideMark/>
          </w:tcPr>
          <w:p w14:paraId="0EBD0EE8" w14:textId="77777777" w:rsidR="006A78A1" w:rsidRPr="006A78A1" w:rsidRDefault="006A78A1" w:rsidP="006A78A1">
            <w:pPr>
              <w:jc w:val="center"/>
              <w:rPr>
                <w:lang w:eastAsia="en-GB"/>
              </w:rPr>
            </w:pPr>
            <w:r w:rsidRPr="006A78A1">
              <w:rPr>
                <w:lang w:eastAsia="en-GB"/>
              </w:rPr>
              <w:t>0.225856</w:t>
            </w:r>
          </w:p>
        </w:tc>
        <w:tc>
          <w:tcPr>
            <w:tcW w:w="1366" w:type="dxa"/>
            <w:vAlign w:val="center"/>
            <w:hideMark/>
          </w:tcPr>
          <w:p w14:paraId="05F185F8" w14:textId="77777777" w:rsidR="006A78A1" w:rsidRPr="006A78A1" w:rsidRDefault="006A78A1" w:rsidP="006A78A1">
            <w:pPr>
              <w:jc w:val="center"/>
              <w:rPr>
                <w:lang w:eastAsia="en-GB"/>
              </w:rPr>
            </w:pPr>
            <w:r w:rsidRPr="006A78A1">
              <w:rPr>
                <w:lang w:eastAsia="en-GB"/>
              </w:rPr>
              <w:t>0.50</w:t>
            </w:r>
          </w:p>
        </w:tc>
      </w:tr>
      <w:tr w:rsidR="006A78A1" w:rsidRPr="006A78A1" w14:paraId="56216C64" w14:textId="77777777" w:rsidTr="00136D5E">
        <w:trPr>
          <w:trHeight w:val="283"/>
        </w:trPr>
        <w:tc>
          <w:tcPr>
            <w:tcW w:w="2263" w:type="dxa"/>
            <w:vAlign w:val="center"/>
            <w:hideMark/>
          </w:tcPr>
          <w:p w14:paraId="4289FB4D" w14:textId="77777777" w:rsidR="006A78A1" w:rsidRPr="006A78A1" w:rsidRDefault="006A78A1" w:rsidP="006A78A1">
            <w:pPr>
              <w:jc w:val="center"/>
              <w:rPr>
                <w:lang w:eastAsia="en-GB"/>
              </w:rPr>
            </w:pPr>
            <w:r w:rsidRPr="006A78A1">
              <w:rPr>
                <w:lang w:eastAsia="en-GB"/>
              </w:rPr>
              <w:lastRenderedPageBreak/>
              <w:t>0.290631</w:t>
            </w:r>
          </w:p>
        </w:tc>
        <w:tc>
          <w:tcPr>
            <w:tcW w:w="2694" w:type="dxa"/>
            <w:vAlign w:val="center"/>
            <w:hideMark/>
          </w:tcPr>
          <w:p w14:paraId="427A99B5" w14:textId="77777777" w:rsidR="006A78A1" w:rsidRPr="006A78A1" w:rsidRDefault="006A78A1" w:rsidP="006A78A1">
            <w:pPr>
              <w:jc w:val="center"/>
              <w:rPr>
                <w:lang w:eastAsia="en-GB"/>
              </w:rPr>
            </w:pPr>
            <w:r w:rsidRPr="006A78A1">
              <w:rPr>
                <w:lang w:eastAsia="en-GB"/>
              </w:rPr>
              <w:t>0.334699</w:t>
            </w:r>
          </w:p>
        </w:tc>
        <w:tc>
          <w:tcPr>
            <w:tcW w:w="2693" w:type="dxa"/>
            <w:vAlign w:val="center"/>
            <w:hideMark/>
          </w:tcPr>
          <w:p w14:paraId="74677B55" w14:textId="77777777" w:rsidR="006A78A1" w:rsidRPr="006A78A1" w:rsidRDefault="006A78A1" w:rsidP="006A78A1">
            <w:pPr>
              <w:jc w:val="center"/>
              <w:rPr>
                <w:lang w:eastAsia="en-GB"/>
              </w:rPr>
            </w:pPr>
            <w:r w:rsidRPr="006A78A1">
              <w:rPr>
                <w:lang w:eastAsia="en-GB"/>
              </w:rPr>
              <w:t>0.286860</w:t>
            </w:r>
          </w:p>
        </w:tc>
        <w:tc>
          <w:tcPr>
            <w:tcW w:w="1366" w:type="dxa"/>
            <w:vAlign w:val="center"/>
            <w:hideMark/>
          </w:tcPr>
          <w:p w14:paraId="40F37021" w14:textId="77777777" w:rsidR="006A78A1" w:rsidRPr="006A78A1" w:rsidRDefault="006A78A1" w:rsidP="006A78A1">
            <w:pPr>
              <w:jc w:val="center"/>
              <w:rPr>
                <w:lang w:eastAsia="en-GB"/>
              </w:rPr>
            </w:pPr>
            <w:r w:rsidRPr="006A78A1">
              <w:rPr>
                <w:lang w:eastAsia="en-GB"/>
              </w:rPr>
              <w:t>0.55</w:t>
            </w:r>
          </w:p>
        </w:tc>
      </w:tr>
      <w:tr w:rsidR="006A78A1" w:rsidRPr="006A78A1" w14:paraId="60B293E9" w14:textId="77777777" w:rsidTr="00136D5E">
        <w:trPr>
          <w:trHeight w:val="283"/>
        </w:trPr>
        <w:tc>
          <w:tcPr>
            <w:tcW w:w="2263" w:type="dxa"/>
            <w:vAlign w:val="center"/>
            <w:hideMark/>
          </w:tcPr>
          <w:p w14:paraId="790D14D9" w14:textId="77777777" w:rsidR="006A78A1" w:rsidRPr="006A78A1" w:rsidRDefault="006A78A1" w:rsidP="006A78A1">
            <w:pPr>
              <w:jc w:val="center"/>
              <w:rPr>
                <w:lang w:eastAsia="en-GB"/>
              </w:rPr>
            </w:pPr>
            <w:r w:rsidRPr="006A78A1">
              <w:rPr>
                <w:lang w:eastAsia="en-GB"/>
              </w:rPr>
              <w:t>0.346080</w:t>
            </w:r>
          </w:p>
        </w:tc>
        <w:tc>
          <w:tcPr>
            <w:tcW w:w="2694" w:type="dxa"/>
            <w:vAlign w:val="center"/>
            <w:hideMark/>
          </w:tcPr>
          <w:p w14:paraId="05E5BCFA" w14:textId="77777777" w:rsidR="006A78A1" w:rsidRPr="006A78A1" w:rsidRDefault="006A78A1" w:rsidP="006A78A1">
            <w:pPr>
              <w:jc w:val="center"/>
              <w:rPr>
                <w:lang w:eastAsia="en-GB"/>
              </w:rPr>
            </w:pPr>
            <w:r w:rsidRPr="006A78A1">
              <w:rPr>
                <w:lang w:eastAsia="en-GB"/>
              </w:rPr>
              <w:t>0.414427</w:t>
            </w:r>
          </w:p>
        </w:tc>
        <w:tc>
          <w:tcPr>
            <w:tcW w:w="2693" w:type="dxa"/>
            <w:vAlign w:val="center"/>
            <w:hideMark/>
          </w:tcPr>
          <w:p w14:paraId="598F64E9" w14:textId="77777777" w:rsidR="006A78A1" w:rsidRPr="006A78A1" w:rsidRDefault="006A78A1" w:rsidP="006A78A1">
            <w:pPr>
              <w:jc w:val="center"/>
              <w:rPr>
                <w:lang w:eastAsia="en-GB"/>
              </w:rPr>
            </w:pPr>
            <w:r w:rsidRPr="006A78A1">
              <w:rPr>
                <w:lang w:eastAsia="en-GB"/>
              </w:rPr>
              <w:t>0.347244</w:t>
            </w:r>
          </w:p>
        </w:tc>
        <w:tc>
          <w:tcPr>
            <w:tcW w:w="1366" w:type="dxa"/>
            <w:vAlign w:val="center"/>
            <w:hideMark/>
          </w:tcPr>
          <w:p w14:paraId="6D1F3148" w14:textId="77777777" w:rsidR="006A78A1" w:rsidRPr="006A78A1" w:rsidRDefault="006A78A1" w:rsidP="006A78A1">
            <w:pPr>
              <w:jc w:val="center"/>
              <w:rPr>
                <w:lang w:eastAsia="en-GB"/>
              </w:rPr>
            </w:pPr>
            <w:r w:rsidRPr="006A78A1">
              <w:rPr>
                <w:lang w:eastAsia="en-GB"/>
              </w:rPr>
              <w:t>0.60</w:t>
            </w:r>
          </w:p>
        </w:tc>
      </w:tr>
      <w:tr w:rsidR="006A78A1" w:rsidRPr="006A78A1" w14:paraId="55B64C1B" w14:textId="77777777" w:rsidTr="00136D5E">
        <w:trPr>
          <w:trHeight w:val="283"/>
        </w:trPr>
        <w:tc>
          <w:tcPr>
            <w:tcW w:w="2263" w:type="dxa"/>
            <w:vAlign w:val="center"/>
            <w:hideMark/>
          </w:tcPr>
          <w:p w14:paraId="04CC2903" w14:textId="77777777" w:rsidR="006A78A1" w:rsidRPr="006A78A1" w:rsidRDefault="006A78A1" w:rsidP="006A78A1">
            <w:pPr>
              <w:jc w:val="center"/>
              <w:rPr>
                <w:lang w:eastAsia="en-GB"/>
              </w:rPr>
            </w:pPr>
            <w:r w:rsidRPr="006A78A1">
              <w:rPr>
                <w:lang w:eastAsia="en-GB"/>
              </w:rPr>
              <w:t>0.409178</w:t>
            </w:r>
          </w:p>
        </w:tc>
        <w:tc>
          <w:tcPr>
            <w:tcW w:w="2694" w:type="dxa"/>
            <w:vAlign w:val="center"/>
            <w:hideMark/>
          </w:tcPr>
          <w:p w14:paraId="274E10F6" w14:textId="77777777" w:rsidR="006A78A1" w:rsidRPr="006A78A1" w:rsidRDefault="006A78A1" w:rsidP="006A78A1">
            <w:pPr>
              <w:jc w:val="center"/>
              <w:rPr>
                <w:lang w:eastAsia="en-GB"/>
              </w:rPr>
            </w:pPr>
            <w:r w:rsidRPr="006A78A1">
              <w:rPr>
                <w:lang w:eastAsia="en-GB"/>
              </w:rPr>
              <w:t>0.511061</w:t>
            </w:r>
          </w:p>
        </w:tc>
        <w:tc>
          <w:tcPr>
            <w:tcW w:w="2693" w:type="dxa"/>
            <w:vAlign w:val="center"/>
            <w:hideMark/>
          </w:tcPr>
          <w:p w14:paraId="78ED8208" w14:textId="77777777" w:rsidR="006A78A1" w:rsidRPr="006A78A1" w:rsidRDefault="006A78A1" w:rsidP="006A78A1">
            <w:pPr>
              <w:jc w:val="center"/>
              <w:rPr>
                <w:lang w:eastAsia="en-GB"/>
              </w:rPr>
            </w:pPr>
            <w:r w:rsidRPr="006A78A1">
              <w:rPr>
                <w:lang w:eastAsia="en-GB"/>
              </w:rPr>
              <w:t>0.425685</w:t>
            </w:r>
          </w:p>
        </w:tc>
        <w:tc>
          <w:tcPr>
            <w:tcW w:w="1366" w:type="dxa"/>
            <w:vAlign w:val="center"/>
            <w:hideMark/>
          </w:tcPr>
          <w:p w14:paraId="4AA276D9" w14:textId="77777777" w:rsidR="006A78A1" w:rsidRPr="006A78A1" w:rsidRDefault="006A78A1" w:rsidP="006A78A1">
            <w:pPr>
              <w:jc w:val="center"/>
              <w:rPr>
                <w:lang w:eastAsia="en-GB"/>
              </w:rPr>
            </w:pPr>
            <w:r w:rsidRPr="006A78A1">
              <w:rPr>
                <w:lang w:eastAsia="en-GB"/>
              </w:rPr>
              <w:t>0.65</w:t>
            </w:r>
          </w:p>
        </w:tc>
      </w:tr>
      <w:tr w:rsidR="006A78A1" w:rsidRPr="006A78A1" w14:paraId="3BF954DC" w14:textId="77777777" w:rsidTr="00136D5E">
        <w:trPr>
          <w:trHeight w:val="283"/>
        </w:trPr>
        <w:tc>
          <w:tcPr>
            <w:tcW w:w="2263" w:type="dxa"/>
            <w:vAlign w:val="center"/>
            <w:hideMark/>
          </w:tcPr>
          <w:p w14:paraId="09B26167" w14:textId="77777777" w:rsidR="006A78A1" w:rsidRPr="006A78A1" w:rsidRDefault="006A78A1" w:rsidP="006A78A1">
            <w:pPr>
              <w:jc w:val="center"/>
              <w:rPr>
                <w:lang w:eastAsia="en-GB"/>
              </w:rPr>
            </w:pPr>
            <w:r w:rsidRPr="006A78A1">
              <w:rPr>
                <w:lang w:eastAsia="en-GB"/>
              </w:rPr>
              <w:t>0.483748</w:t>
            </w:r>
          </w:p>
        </w:tc>
        <w:tc>
          <w:tcPr>
            <w:tcW w:w="2694" w:type="dxa"/>
            <w:vAlign w:val="center"/>
            <w:hideMark/>
          </w:tcPr>
          <w:p w14:paraId="1B4F54BB" w14:textId="77777777" w:rsidR="006A78A1" w:rsidRPr="006A78A1" w:rsidRDefault="006A78A1" w:rsidP="006A78A1">
            <w:pPr>
              <w:jc w:val="center"/>
              <w:rPr>
                <w:lang w:eastAsia="en-GB"/>
              </w:rPr>
            </w:pPr>
            <w:r w:rsidRPr="006A78A1">
              <w:rPr>
                <w:lang w:eastAsia="en-GB"/>
              </w:rPr>
              <w:t>0.586786</w:t>
            </w:r>
          </w:p>
        </w:tc>
        <w:tc>
          <w:tcPr>
            <w:tcW w:w="2693" w:type="dxa"/>
            <w:vAlign w:val="center"/>
            <w:hideMark/>
          </w:tcPr>
          <w:p w14:paraId="4D725922" w14:textId="77777777" w:rsidR="006A78A1" w:rsidRPr="006A78A1" w:rsidRDefault="006A78A1" w:rsidP="006A78A1">
            <w:pPr>
              <w:jc w:val="center"/>
              <w:rPr>
                <w:lang w:eastAsia="en-GB"/>
              </w:rPr>
            </w:pPr>
            <w:r w:rsidRPr="006A78A1">
              <w:rPr>
                <w:lang w:eastAsia="en-GB"/>
              </w:rPr>
              <w:t>0.494185</w:t>
            </w:r>
          </w:p>
        </w:tc>
        <w:tc>
          <w:tcPr>
            <w:tcW w:w="1366" w:type="dxa"/>
            <w:vAlign w:val="center"/>
            <w:hideMark/>
          </w:tcPr>
          <w:p w14:paraId="36D246F7" w14:textId="77777777" w:rsidR="006A78A1" w:rsidRPr="006A78A1" w:rsidRDefault="006A78A1" w:rsidP="006A78A1">
            <w:pPr>
              <w:jc w:val="center"/>
              <w:rPr>
                <w:lang w:eastAsia="en-GB"/>
              </w:rPr>
            </w:pPr>
            <w:r w:rsidRPr="006A78A1">
              <w:rPr>
                <w:lang w:eastAsia="en-GB"/>
              </w:rPr>
              <w:t>0.70</w:t>
            </w:r>
          </w:p>
        </w:tc>
      </w:tr>
      <w:tr w:rsidR="006A78A1" w:rsidRPr="006A78A1" w14:paraId="4D7BFC87" w14:textId="77777777" w:rsidTr="00136D5E">
        <w:trPr>
          <w:trHeight w:val="283"/>
        </w:trPr>
        <w:tc>
          <w:tcPr>
            <w:tcW w:w="2263" w:type="dxa"/>
            <w:vAlign w:val="center"/>
            <w:hideMark/>
          </w:tcPr>
          <w:p w14:paraId="1F64F6F4" w14:textId="77777777" w:rsidR="006A78A1" w:rsidRPr="006A78A1" w:rsidRDefault="006A78A1" w:rsidP="006A78A1">
            <w:pPr>
              <w:jc w:val="center"/>
              <w:rPr>
                <w:lang w:eastAsia="en-GB"/>
              </w:rPr>
            </w:pPr>
            <w:r w:rsidRPr="006A78A1">
              <w:rPr>
                <w:lang w:eastAsia="en-GB"/>
              </w:rPr>
              <w:t>0.550669</w:t>
            </w:r>
          </w:p>
        </w:tc>
        <w:tc>
          <w:tcPr>
            <w:tcW w:w="2694" w:type="dxa"/>
            <w:vAlign w:val="center"/>
            <w:hideMark/>
          </w:tcPr>
          <w:p w14:paraId="7F629E97" w14:textId="77777777" w:rsidR="006A78A1" w:rsidRPr="006A78A1" w:rsidRDefault="006A78A1" w:rsidP="006A78A1">
            <w:pPr>
              <w:jc w:val="center"/>
              <w:rPr>
                <w:lang w:eastAsia="en-GB"/>
              </w:rPr>
            </w:pPr>
            <w:r w:rsidRPr="006A78A1">
              <w:rPr>
                <w:lang w:eastAsia="en-GB"/>
              </w:rPr>
              <w:t>0.665998</w:t>
            </w:r>
          </w:p>
        </w:tc>
        <w:tc>
          <w:tcPr>
            <w:tcW w:w="2693" w:type="dxa"/>
            <w:vAlign w:val="center"/>
            <w:hideMark/>
          </w:tcPr>
          <w:p w14:paraId="056B10A7" w14:textId="77777777" w:rsidR="006A78A1" w:rsidRPr="006A78A1" w:rsidRDefault="006A78A1" w:rsidP="006A78A1">
            <w:pPr>
              <w:jc w:val="center"/>
              <w:rPr>
                <w:lang w:eastAsia="en-GB"/>
              </w:rPr>
            </w:pPr>
            <w:r w:rsidRPr="006A78A1">
              <w:rPr>
                <w:lang w:eastAsia="en-GB"/>
              </w:rPr>
              <w:t>0.574012</w:t>
            </w:r>
          </w:p>
        </w:tc>
        <w:tc>
          <w:tcPr>
            <w:tcW w:w="1366" w:type="dxa"/>
            <w:vAlign w:val="center"/>
            <w:hideMark/>
          </w:tcPr>
          <w:p w14:paraId="776A8BA4" w14:textId="77777777" w:rsidR="006A78A1" w:rsidRPr="006A78A1" w:rsidRDefault="006A78A1" w:rsidP="006A78A1">
            <w:pPr>
              <w:jc w:val="center"/>
              <w:rPr>
                <w:lang w:eastAsia="en-GB"/>
              </w:rPr>
            </w:pPr>
            <w:r w:rsidRPr="006A78A1">
              <w:rPr>
                <w:lang w:eastAsia="en-GB"/>
              </w:rPr>
              <w:t>0.75</w:t>
            </w:r>
          </w:p>
        </w:tc>
      </w:tr>
      <w:tr w:rsidR="006A78A1" w:rsidRPr="006A78A1" w14:paraId="73D4F5B7" w14:textId="77777777" w:rsidTr="00136D5E">
        <w:trPr>
          <w:trHeight w:val="283"/>
        </w:trPr>
        <w:tc>
          <w:tcPr>
            <w:tcW w:w="2263" w:type="dxa"/>
            <w:vAlign w:val="center"/>
            <w:hideMark/>
          </w:tcPr>
          <w:p w14:paraId="41A9DA1F" w14:textId="77777777" w:rsidR="006A78A1" w:rsidRPr="006A78A1" w:rsidRDefault="006A78A1" w:rsidP="006A78A1">
            <w:pPr>
              <w:jc w:val="center"/>
              <w:rPr>
                <w:lang w:eastAsia="en-GB"/>
              </w:rPr>
            </w:pPr>
            <w:r w:rsidRPr="006A78A1">
              <w:rPr>
                <w:lang w:eastAsia="en-GB"/>
              </w:rPr>
              <w:t>0.636711</w:t>
            </w:r>
          </w:p>
        </w:tc>
        <w:tc>
          <w:tcPr>
            <w:tcW w:w="2694" w:type="dxa"/>
            <w:vAlign w:val="center"/>
            <w:hideMark/>
          </w:tcPr>
          <w:p w14:paraId="2C21A111" w14:textId="77777777" w:rsidR="006A78A1" w:rsidRPr="006A78A1" w:rsidRDefault="006A78A1" w:rsidP="006A78A1">
            <w:pPr>
              <w:jc w:val="center"/>
              <w:rPr>
                <w:lang w:eastAsia="en-GB"/>
              </w:rPr>
            </w:pPr>
            <w:r w:rsidRPr="006A78A1">
              <w:rPr>
                <w:lang w:eastAsia="en-GB"/>
              </w:rPr>
              <w:t>0.760119</w:t>
            </w:r>
          </w:p>
        </w:tc>
        <w:tc>
          <w:tcPr>
            <w:tcW w:w="2693" w:type="dxa"/>
            <w:vAlign w:val="center"/>
            <w:hideMark/>
          </w:tcPr>
          <w:p w14:paraId="212CDFCC" w14:textId="77777777" w:rsidR="006A78A1" w:rsidRPr="006A78A1" w:rsidRDefault="006A78A1" w:rsidP="006A78A1">
            <w:pPr>
              <w:jc w:val="center"/>
              <w:rPr>
                <w:lang w:eastAsia="en-GB"/>
              </w:rPr>
            </w:pPr>
            <w:r w:rsidRPr="006A78A1">
              <w:rPr>
                <w:lang w:eastAsia="en-GB"/>
              </w:rPr>
              <w:t>0.686548</w:t>
            </w:r>
          </w:p>
        </w:tc>
        <w:tc>
          <w:tcPr>
            <w:tcW w:w="1366" w:type="dxa"/>
            <w:vAlign w:val="center"/>
            <w:hideMark/>
          </w:tcPr>
          <w:p w14:paraId="519247AF" w14:textId="77777777" w:rsidR="006A78A1" w:rsidRPr="006A78A1" w:rsidRDefault="006A78A1" w:rsidP="006A78A1">
            <w:pPr>
              <w:jc w:val="center"/>
              <w:rPr>
                <w:lang w:eastAsia="en-GB"/>
              </w:rPr>
            </w:pPr>
            <w:r w:rsidRPr="006A78A1">
              <w:rPr>
                <w:lang w:eastAsia="en-GB"/>
              </w:rPr>
              <w:t>0.80</w:t>
            </w:r>
          </w:p>
        </w:tc>
      </w:tr>
      <w:tr w:rsidR="006A78A1" w:rsidRPr="006A78A1" w14:paraId="023B2802" w14:textId="77777777" w:rsidTr="00136D5E">
        <w:trPr>
          <w:trHeight w:val="283"/>
        </w:trPr>
        <w:tc>
          <w:tcPr>
            <w:tcW w:w="2263" w:type="dxa"/>
            <w:vAlign w:val="center"/>
            <w:hideMark/>
          </w:tcPr>
          <w:p w14:paraId="6ACC142B" w14:textId="77777777" w:rsidR="006A78A1" w:rsidRPr="006A78A1" w:rsidRDefault="006A78A1" w:rsidP="006A78A1">
            <w:pPr>
              <w:jc w:val="center"/>
              <w:rPr>
                <w:lang w:eastAsia="en-GB"/>
              </w:rPr>
            </w:pPr>
            <w:r w:rsidRPr="006A78A1">
              <w:rPr>
                <w:lang w:eastAsia="en-GB"/>
              </w:rPr>
              <w:t>0.718929</w:t>
            </w:r>
          </w:p>
        </w:tc>
        <w:tc>
          <w:tcPr>
            <w:tcW w:w="2694" w:type="dxa"/>
            <w:vAlign w:val="center"/>
            <w:hideMark/>
          </w:tcPr>
          <w:p w14:paraId="322EB29A" w14:textId="77777777" w:rsidR="006A78A1" w:rsidRPr="006A78A1" w:rsidRDefault="006A78A1" w:rsidP="006A78A1">
            <w:pPr>
              <w:jc w:val="center"/>
              <w:rPr>
                <w:lang w:eastAsia="en-GB"/>
              </w:rPr>
            </w:pPr>
            <w:r w:rsidRPr="006A78A1">
              <w:rPr>
                <w:lang w:eastAsia="en-GB"/>
              </w:rPr>
              <w:t>0.833340</w:t>
            </w:r>
          </w:p>
        </w:tc>
        <w:tc>
          <w:tcPr>
            <w:tcW w:w="2693" w:type="dxa"/>
            <w:vAlign w:val="center"/>
            <w:hideMark/>
          </w:tcPr>
          <w:p w14:paraId="448696E3" w14:textId="77777777" w:rsidR="006A78A1" w:rsidRPr="006A78A1" w:rsidRDefault="006A78A1" w:rsidP="006A78A1">
            <w:pPr>
              <w:jc w:val="center"/>
              <w:rPr>
                <w:lang w:eastAsia="en-GB"/>
              </w:rPr>
            </w:pPr>
            <w:r w:rsidRPr="006A78A1">
              <w:rPr>
                <w:lang w:eastAsia="en-GB"/>
              </w:rPr>
              <w:t>0.793381</w:t>
            </w:r>
          </w:p>
        </w:tc>
        <w:tc>
          <w:tcPr>
            <w:tcW w:w="1366" w:type="dxa"/>
            <w:vAlign w:val="center"/>
            <w:hideMark/>
          </w:tcPr>
          <w:p w14:paraId="7A574D3D" w14:textId="77777777" w:rsidR="006A78A1" w:rsidRPr="006A78A1" w:rsidRDefault="006A78A1" w:rsidP="006A78A1">
            <w:pPr>
              <w:jc w:val="center"/>
              <w:rPr>
                <w:lang w:eastAsia="en-GB"/>
              </w:rPr>
            </w:pPr>
            <w:r w:rsidRPr="006A78A1">
              <w:rPr>
                <w:lang w:eastAsia="en-GB"/>
              </w:rPr>
              <w:t>0.85</w:t>
            </w:r>
          </w:p>
        </w:tc>
      </w:tr>
      <w:tr w:rsidR="006A78A1" w:rsidRPr="006A78A1" w14:paraId="4B327D6B" w14:textId="77777777" w:rsidTr="00136D5E">
        <w:trPr>
          <w:trHeight w:val="283"/>
        </w:trPr>
        <w:tc>
          <w:tcPr>
            <w:tcW w:w="2263" w:type="dxa"/>
            <w:vAlign w:val="center"/>
            <w:hideMark/>
          </w:tcPr>
          <w:p w14:paraId="1F60E03E" w14:textId="77777777" w:rsidR="006A78A1" w:rsidRPr="006A78A1" w:rsidRDefault="006A78A1" w:rsidP="006A78A1">
            <w:pPr>
              <w:jc w:val="center"/>
              <w:rPr>
                <w:lang w:eastAsia="en-GB"/>
              </w:rPr>
            </w:pPr>
            <w:r w:rsidRPr="006A78A1">
              <w:rPr>
                <w:lang w:eastAsia="en-GB"/>
              </w:rPr>
              <w:t>0.801147</w:t>
            </w:r>
          </w:p>
        </w:tc>
        <w:tc>
          <w:tcPr>
            <w:tcW w:w="2694" w:type="dxa"/>
            <w:vAlign w:val="center"/>
            <w:hideMark/>
          </w:tcPr>
          <w:p w14:paraId="6287741A" w14:textId="77777777" w:rsidR="006A78A1" w:rsidRPr="006A78A1" w:rsidRDefault="006A78A1" w:rsidP="006A78A1">
            <w:pPr>
              <w:jc w:val="center"/>
              <w:rPr>
                <w:lang w:eastAsia="en-GB"/>
              </w:rPr>
            </w:pPr>
            <w:r w:rsidRPr="006A78A1">
              <w:rPr>
                <w:lang w:eastAsia="en-GB"/>
              </w:rPr>
              <w:t>0.898404</w:t>
            </w:r>
          </w:p>
        </w:tc>
        <w:tc>
          <w:tcPr>
            <w:tcW w:w="2693" w:type="dxa"/>
            <w:vAlign w:val="center"/>
            <w:hideMark/>
          </w:tcPr>
          <w:p w14:paraId="017DF186" w14:textId="77777777" w:rsidR="006A78A1" w:rsidRPr="006A78A1" w:rsidRDefault="006A78A1" w:rsidP="006A78A1">
            <w:pPr>
              <w:jc w:val="center"/>
              <w:rPr>
                <w:lang w:eastAsia="en-GB"/>
              </w:rPr>
            </w:pPr>
            <w:r w:rsidRPr="006A78A1">
              <w:rPr>
                <w:lang w:eastAsia="en-GB"/>
              </w:rPr>
              <w:t>0.901016</w:t>
            </w:r>
          </w:p>
        </w:tc>
        <w:tc>
          <w:tcPr>
            <w:tcW w:w="1366" w:type="dxa"/>
            <w:vAlign w:val="center"/>
            <w:hideMark/>
          </w:tcPr>
          <w:p w14:paraId="57A7609E" w14:textId="77777777" w:rsidR="006A78A1" w:rsidRPr="006A78A1" w:rsidRDefault="006A78A1" w:rsidP="006A78A1">
            <w:pPr>
              <w:jc w:val="center"/>
              <w:rPr>
                <w:lang w:eastAsia="en-GB"/>
              </w:rPr>
            </w:pPr>
            <w:r w:rsidRPr="006A78A1">
              <w:rPr>
                <w:lang w:eastAsia="en-GB"/>
              </w:rPr>
              <w:t>0.90</w:t>
            </w:r>
          </w:p>
        </w:tc>
      </w:tr>
      <w:tr w:rsidR="006A78A1" w:rsidRPr="006A78A1" w14:paraId="52067803" w14:textId="77777777" w:rsidTr="00136D5E">
        <w:trPr>
          <w:trHeight w:val="283"/>
        </w:trPr>
        <w:tc>
          <w:tcPr>
            <w:tcW w:w="2263" w:type="dxa"/>
            <w:vAlign w:val="center"/>
            <w:hideMark/>
          </w:tcPr>
          <w:p w14:paraId="5144E09E" w14:textId="77777777" w:rsidR="006A78A1" w:rsidRPr="006A78A1" w:rsidRDefault="006A78A1" w:rsidP="006A78A1">
            <w:pPr>
              <w:jc w:val="center"/>
              <w:rPr>
                <w:lang w:eastAsia="en-GB"/>
              </w:rPr>
            </w:pPr>
            <w:r w:rsidRPr="006A78A1">
              <w:rPr>
                <w:lang w:eastAsia="en-GB"/>
              </w:rPr>
              <w:t>0.896750</w:t>
            </w:r>
          </w:p>
        </w:tc>
        <w:tc>
          <w:tcPr>
            <w:tcW w:w="2694" w:type="dxa"/>
            <w:vAlign w:val="center"/>
            <w:hideMark/>
          </w:tcPr>
          <w:p w14:paraId="5A69ED3B" w14:textId="77777777" w:rsidR="006A78A1" w:rsidRPr="006A78A1" w:rsidRDefault="006A78A1" w:rsidP="006A78A1">
            <w:pPr>
              <w:jc w:val="center"/>
              <w:rPr>
                <w:lang w:eastAsia="en-GB"/>
              </w:rPr>
            </w:pPr>
            <w:r w:rsidRPr="006A78A1">
              <w:rPr>
                <w:lang w:eastAsia="en-GB"/>
              </w:rPr>
              <w:t>0.943967</w:t>
            </w:r>
          </w:p>
        </w:tc>
        <w:tc>
          <w:tcPr>
            <w:tcW w:w="2693" w:type="dxa"/>
            <w:vAlign w:val="center"/>
            <w:hideMark/>
          </w:tcPr>
          <w:p w14:paraId="2CBED67D" w14:textId="77777777" w:rsidR="006A78A1" w:rsidRPr="006A78A1" w:rsidRDefault="006A78A1" w:rsidP="006A78A1">
            <w:pPr>
              <w:jc w:val="center"/>
              <w:rPr>
                <w:lang w:eastAsia="en-GB"/>
              </w:rPr>
            </w:pPr>
            <w:r w:rsidRPr="006A78A1">
              <w:rPr>
                <w:lang w:eastAsia="en-GB"/>
              </w:rPr>
              <w:t>0.968367</w:t>
            </w:r>
          </w:p>
        </w:tc>
        <w:tc>
          <w:tcPr>
            <w:tcW w:w="1366" w:type="dxa"/>
            <w:vAlign w:val="center"/>
            <w:hideMark/>
          </w:tcPr>
          <w:p w14:paraId="30373C06" w14:textId="77777777" w:rsidR="006A78A1" w:rsidRPr="006A78A1" w:rsidRDefault="006A78A1" w:rsidP="006A78A1">
            <w:pPr>
              <w:jc w:val="center"/>
              <w:rPr>
                <w:lang w:eastAsia="en-GB"/>
              </w:rPr>
            </w:pPr>
            <w:r w:rsidRPr="006A78A1">
              <w:rPr>
                <w:lang w:eastAsia="en-GB"/>
              </w:rPr>
              <w:t>0.95</w:t>
            </w:r>
          </w:p>
        </w:tc>
      </w:tr>
    </w:tbl>
    <w:p w14:paraId="12EC4A82" w14:textId="77777777" w:rsidR="006A78A1" w:rsidRDefault="006A78A1" w:rsidP="00B94B81"/>
    <w:p w14:paraId="120AD077" w14:textId="77777777" w:rsidR="00B94B81" w:rsidRDefault="00B94B81" w:rsidP="00B94B81"/>
    <w:p w14:paraId="43EC20F3" w14:textId="480E284C" w:rsidR="00B94B81" w:rsidRDefault="00B94B81" w:rsidP="00B94B81">
      <w:r>
        <w:t xml:space="preserve">On the other hand, the Gaussian Copula also understates the probabilities in the tails, but it </w:t>
      </w:r>
      <w:r w:rsidR="008D2A21">
        <w:t xml:space="preserve">is noticeably more accurate </w:t>
      </w:r>
      <w:r>
        <w:t xml:space="preserve">than the Multivariate Distribution. This is because the Copula allows for the underlying marginal distributions to be t-distributed, whereas the Multivariate Distribution assumes normally distributed underlying variables. This is an important factor, as the assumption of normality is not always appropriate for financial data, which often exhibits heavy tails and skewness. </w:t>
      </w:r>
      <w:r w:rsidR="00CB5223">
        <w:t xml:space="preserve">In particular, throughout the financial crash extreme values became more common and hence higher probabilities should be attributed to them. </w:t>
      </w:r>
      <w:r>
        <w:t>The Copula can capture these characteristics of the data and provide a better fit than the Multivariate Distribution.</w:t>
      </w:r>
    </w:p>
    <w:p w14:paraId="54B8F234" w14:textId="77777777" w:rsidR="00B94B81" w:rsidRDefault="00B94B81" w:rsidP="00B94B81"/>
    <w:p w14:paraId="56308C42" w14:textId="213A3104" w:rsidR="00B94B81" w:rsidRDefault="00B94B81" w:rsidP="00B94B81">
      <w:r>
        <w:t xml:space="preserve">It is worth noting that even though the Copula does a better job than the Multivariate Distribution, it still understates the probabilities in the tails. This is an important consideration for financial risk management, as tail events can have a significant impact on portfolio performance. Therefore, it is crucial to use models that can capture the tails of the distribution accurately. </w:t>
      </w:r>
    </w:p>
    <w:p w14:paraId="1F8191E0" w14:textId="77777777" w:rsidR="00B94B81" w:rsidRDefault="00B94B81" w:rsidP="00B94B81"/>
    <w:p w14:paraId="04CF6171" w14:textId="12C71C52" w:rsidR="00B94B81" w:rsidRPr="00B94B81" w:rsidRDefault="00B94B81" w:rsidP="00B94B81">
      <w:r>
        <w:t>In conclusion, th</w:t>
      </w:r>
      <w:r w:rsidR="004A6D69">
        <w:t>is</w:t>
      </w:r>
      <w:r>
        <w:t xml:space="preserve"> analysis highlights the importance of using appropriate models to capture the characteristics of financial data, especially when it comes to estimating the probability distribution of portfolio returns. The results suggest that the Gaussian Copula is a better model than the Multivariate Distribution, but it is not perfect and should be used in conjunction with other methods to provide a more accurate estimate of the distribution.</w:t>
      </w:r>
    </w:p>
    <w:p w14:paraId="5B64863F" w14:textId="77777777" w:rsidR="00A76DB5" w:rsidRDefault="00A76DB5" w:rsidP="00F35374"/>
    <w:p w14:paraId="19758956" w14:textId="77777777" w:rsidR="00A76DB5" w:rsidRDefault="00A76DB5" w:rsidP="00F35374"/>
    <w:p w14:paraId="3E3604B3" w14:textId="77777777" w:rsidR="00A76DB5" w:rsidRDefault="00A76DB5" w:rsidP="00F35374"/>
    <w:p w14:paraId="12122F99" w14:textId="77777777" w:rsidR="00A76DB5" w:rsidRDefault="00A76DB5" w:rsidP="00F35374"/>
    <w:p w14:paraId="71309A7A" w14:textId="179584B8" w:rsidR="00A76DB5" w:rsidRPr="00F35374" w:rsidRDefault="00A76DB5" w:rsidP="00F35374">
      <w:r>
        <w:rPr>
          <w:noProof/>
        </w:rPr>
        <w:lastRenderedPageBreak/>
        <w:drawing>
          <wp:anchor distT="0" distB="0" distL="114300" distR="114300" simplePos="0" relativeHeight="251665408" behindDoc="0" locked="0" layoutInCell="1" allowOverlap="1" wp14:anchorId="7DB1E15D" wp14:editId="0CC4BF91">
            <wp:simplePos x="0" y="0"/>
            <wp:positionH relativeFrom="column">
              <wp:posOffset>770890</wp:posOffset>
            </wp:positionH>
            <wp:positionV relativeFrom="paragraph">
              <wp:posOffset>3481070</wp:posOffset>
            </wp:positionV>
            <wp:extent cx="4725670" cy="3518535"/>
            <wp:effectExtent l="0" t="0" r="0" b="0"/>
            <wp:wrapTopAndBottom/>
            <wp:docPr id="1734134774"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134774" name="Picture 3" descr="Chart, hist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25670" cy="35185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145ACB62" wp14:editId="19166F9E">
            <wp:simplePos x="0" y="0"/>
            <wp:positionH relativeFrom="column">
              <wp:posOffset>-474345</wp:posOffset>
            </wp:positionH>
            <wp:positionV relativeFrom="paragraph">
              <wp:posOffset>4429125</wp:posOffset>
            </wp:positionV>
            <wp:extent cx="3452495" cy="2570480"/>
            <wp:effectExtent l="0" t="0" r="1905" b="0"/>
            <wp:wrapTopAndBottom/>
            <wp:docPr id="1974764017"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764017" name="Picture 1" descr="Chart, hist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52495" cy="25704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403A01BD" wp14:editId="215022A1">
            <wp:simplePos x="0" y="0"/>
            <wp:positionH relativeFrom="column">
              <wp:posOffset>2720340</wp:posOffset>
            </wp:positionH>
            <wp:positionV relativeFrom="paragraph">
              <wp:posOffset>4430165</wp:posOffset>
            </wp:positionV>
            <wp:extent cx="3452495" cy="2569845"/>
            <wp:effectExtent l="0" t="0" r="1905" b="0"/>
            <wp:wrapTopAndBottom/>
            <wp:docPr id="359060188"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060188" name="Picture 2" descr="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52495" cy="2569845"/>
                    </a:xfrm>
                    <a:prstGeom prst="rect">
                      <a:avLst/>
                    </a:prstGeom>
                  </pic:spPr>
                </pic:pic>
              </a:graphicData>
            </a:graphic>
            <wp14:sizeRelH relativeFrom="page">
              <wp14:pctWidth>0</wp14:pctWidth>
            </wp14:sizeRelH>
            <wp14:sizeRelV relativeFrom="page">
              <wp14:pctHeight>0</wp14:pctHeight>
            </wp14:sizeRelV>
          </wp:anchor>
        </w:drawing>
      </w:r>
    </w:p>
    <w:sectPr w:rsidR="00A76DB5" w:rsidRPr="00F35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C81"/>
    <w:rsid w:val="00050EE3"/>
    <w:rsid w:val="00136D5E"/>
    <w:rsid w:val="001A44CF"/>
    <w:rsid w:val="00201E63"/>
    <w:rsid w:val="002B0C81"/>
    <w:rsid w:val="00374A2F"/>
    <w:rsid w:val="00405DFD"/>
    <w:rsid w:val="00481EE6"/>
    <w:rsid w:val="00492603"/>
    <w:rsid w:val="004A6D69"/>
    <w:rsid w:val="004D25BD"/>
    <w:rsid w:val="004E4A03"/>
    <w:rsid w:val="005157BE"/>
    <w:rsid w:val="005D3CD6"/>
    <w:rsid w:val="006A78A1"/>
    <w:rsid w:val="006E68D5"/>
    <w:rsid w:val="007A128E"/>
    <w:rsid w:val="00822A78"/>
    <w:rsid w:val="008B69A6"/>
    <w:rsid w:val="008D2A21"/>
    <w:rsid w:val="009B6F2E"/>
    <w:rsid w:val="009D14DE"/>
    <w:rsid w:val="00A1075C"/>
    <w:rsid w:val="00A76DB5"/>
    <w:rsid w:val="00B66616"/>
    <w:rsid w:val="00B94B81"/>
    <w:rsid w:val="00CB5223"/>
    <w:rsid w:val="00D601E8"/>
    <w:rsid w:val="00DE54E0"/>
    <w:rsid w:val="00E272E6"/>
    <w:rsid w:val="00E40CA2"/>
    <w:rsid w:val="00F12BF6"/>
    <w:rsid w:val="00F22D1F"/>
    <w:rsid w:val="00F2581A"/>
    <w:rsid w:val="00F31DD1"/>
    <w:rsid w:val="00F35374"/>
    <w:rsid w:val="00F42094"/>
    <w:rsid w:val="00FB5EE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29CBD"/>
  <w15:chartTrackingRefBased/>
  <w15:docId w15:val="{CCBDDB1A-5AF4-EC48-8573-9D9CCA12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4DE"/>
  </w:style>
  <w:style w:type="paragraph" w:styleId="Heading1">
    <w:name w:val="heading 1"/>
    <w:basedOn w:val="Normal"/>
    <w:next w:val="Normal"/>
    <w:link w:val="Heading1Char"/>
    <w:uiPriority w:val="9"/>
    <w:qFormat/>
    <w:rsid w:val="009D14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14D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4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14D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D14DE"/>
    <w:pPr>
      <w:ind w:left="720"/>
      <w:contextualSpacing/>
    </w:pPr>
  </w:style>
  <w:style w:type="table" w:styleId="TableGrid">
    <w:name w:val="Table Grid"/>
    <w:basedOn w:val="TableNormal"/>
    <w:uiPriority w:val="39"/>
    <w:rsid w:val="006A78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10041">
      <w:bodyDiv w:val="1"/>
      <w:marLeft w:val="0"/>
      <w:marRight w:val="0"/>
      <w:marTop w:val="0"/>
      <w:marBottom w:val="0"/>
      <w:divBdr>
        <w:top w:val="none" w:sz="0" w:space="0" w:color="auto"/>
        <w:left w:val="none" w:sz="0" w:space="0" w:color="auto"/>
        <w:bottom w:val="none" w:sz="0" w:space="0" w:color="auto"/>
        <w:right w:val="none" w:sz="0" w:space="0" w:color="auto"/>
      </w:divBdr>
    </w:div>
    <w:div w:id="165294602">
      <w:bodyDiv w:val="1"/>
      <w:marLeft w:val="0"/>
      <w:marRight w:val="0"/>
      <w:marTop w:val="0"/>
      <w:marBottom w:val="0"/>
      <w:divBdr>
        <w:top w:val="none" w:sz="0" w:space="0" w:color="auto"/>
        <w:left w:val="none" w:sz="0" w:space="0" w:color="auto"/>
        <w:bottom w:val="none" w:sz="0" w:space="0" w:color="auto"/>
        <w:right w:val="none" w:sz="0" w:space="0" w:color="auto"/>
      </w:divBdr>
    </w:div>
    <w:div w:id="174617066">
      <w:bodyDiv w:val="1"/>
      <w:marLeft w:val="0"/>
      <w:marRight w:val="0"/>
      <w:marTop w:val="0"/>
      <w:marBottom w:val="0"/>
      <w:divBdr>
        <w:top w:val="none" w:sz="0" w:space="0" w:color="auto"/>
        <w:left w:val="none" w:sz="0" w:space="0" w:color="auto"/>
        <w:bottom w:val="none" w:sz="0" w:space="0" w:color="auto"/>
        <w:right w:val="none" w:sz="0" w:space="0" w:color="auto"/>
      </w:divBdr>
    </w:div>
    <w:div w:id="407926322">
      <w:bodyDiv w:val="1"/>
      <w:marLeft w:val="0"/>
      <w:marRight w:val="0"/>
      <w:marTop w:val="0"/>
      <w:marBottom w:val="0"/>
      <w:divBdr>
        <w:top w:val="none" w:sz="0" w:space="0" w:color="auto"/>
        <w:left w:val="none" w:sz="0" w:space="0" w:color="auto"/>
        <w:bottom w:val="none" w:sz="0" w:space="0" w:color="auto"/>
        <w:right w:val="none" w:sz="0" w:space="0" w:color="auto"/>
      </w:divBdr>
    </w:div>
    <w:div w:id="200076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1532</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Cleary</dc:creator>
  <cp:keywords/>
  <dc:description/>
  <cp:lastModifiedBy>Jack Cleary</cp:lastModifiedBy>
  <cp:revision>22</cp:revision>
  <dcterms:created xsi:type="dcterms:W3CDTF">2023-05-07T14:31:00Z</dcterms:created>
  <dcterms:modified xsi:type="dcterms:W3CDTF">2023-05-08T11:12:00Z</dcterms:modified>
</cp:coreProperties>
</file>