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MAT142 AI Tutor</w:t>
      </w:r>
    </w:p>
    <w:p>
      <w:pPr>
        <w:spacing w:after="40"/>
      </w:pPr>
      <w:r>
        <w:rPr>
          <w:rFonts w:ascii="Calibri" w:cs="Calibri" w:eastAsia="Calibri" w:hAnsi="Calibri"/>
          <w:color w:val="2F5496"/>
          <w:sz w:val="30"/>
          <w:szCs w:val="30"/>
        </w:rPr>
        <w:t xml:space="preserve">What you need to discuss with faculty</w:t>
      </w:r>
    </w:p>
    <w:p>
      <w:pPr>
        <w:pBdr>
          <w:bottom w:val="single" w:color="2F5496" w:sz="8" w:space="6"/>
        </w:pBdr>
        <w:spacing w:after="300"/>
      </w:pPr>
      <w:r>
        <w:rPr>
          <w:rFonts w:ascii="Calibri" w:cs="Calibri" w:eastAsia="Calibri" w:hAnsi="Calibri"/>
          <w:color w:val="767171"/>
          <w:sz w:val="20"/>
          <w:szCs w:val="20"/>
        </w:rPr>
        <w:t xml:space="preserve">Briefing note for Juhi  ·  3 September 2026</w:t>
      </w:r>
    </w:p>
    <w:p>
      <w:pPr>
        <w:spacing w:after="140" w:line="276"/>
      </w:pPr>
      <w:r>
        <w:rPr>
          <w:rFonts w:ascii="Calibri" w:cs="Calibri" w:eastAsia="Calibri" w:hAnsi="Calibri"/>
          <w:sz w:val="22"/>
          <w:szCs w:val="22"/>
        </w:rPr>
        <w:t xml:space="preserve">Seventeen questions, grouped into four parts. Five of them (Part A) block the build — I can keep working around everything else, but not those. The rest shape how the tutor behaves and how the pilot is run.</w:t>
      </w:r>
    </w:p>
    <w:p>
      <w:pPr>
        <w:spacing w:after="140" w:line="276"/>
      </w:pPr>
      <w:r>
        <w:rPr>
          <w:rFonts w:ascii="Calibri" w:cs="Calibri" w:eastAsia="Calibri" w:hAnsi="Calibri"/>
          <w:sz w:val="22"/>
          <w:szCs w:val="22"/>
        </w:rPr>
        <w:t xml:space="preserve">You do not need to understand the calculus to run this meeting. For every technical question I have written out the exact words to say and told you what a usable answer sounds like. Your job is to capture the answer, not to evaluate it. Where two mathematically correct options exist, I say so — so if faculty disagree with something below, they are almost certainly right and you should just write down what they say.</w:t>
      </w:r>
    </w:p>
    <w:p>
      <w:pPr>
        <w:pStyle w:val="Heading2"/>
        <w:spacing w:after="120" w:before="260"/>
      </w:pPr>
      <w:r>
        <w:rPr>
          <w:rFonts w:ascii="Calibri" w:cs="Calibri" w:eastAsia="Calibri" w:hAnsi="Calibri"/>
          <w:b/>
          <w:bCs/>
          <w:color w:val="2F5496"/>
          <w:sz w:val="24"/>
          <w:szCs w:val="24"/>
        </w:rPr>
        <w:t xml:space="preserve">Before you go in</w:t>
      </w:r>
    </w:p>
    <w:p>
      <w:pPr>
        <w:spacing w:after="140" w:line="276"/>
      </w:pPr>
      <w:r>
        <w:rPr>
          <w:rFonts w:ascii="Calibri" w:cs="Calibri" w:eastAsia="Calibri" w:hAnsi="Calibri"/>
          <w:sz w:val="22"/>
          <w:szCs w:val="22"/>
        </w:rPr>
        <w:t xml:space="preserve">Ask for 45 minutes, and say it is about the AI tutor pilot for the students who are struggling. Bring three things: the nine lecture PDFs, the list of 55 topics I built from them, and the original Gemini tutor instructions. Do not ask anyone to read all 55 topics in the room — see A4 for how to handle that.</w:t>
      </w:r>
    </w:p>
    <w:p>
      <w:pPr>
        <w:spacing w:after="140" w:line="276"/>
      </w:pPr>
      <w:r>
        <w:rPr>
          <w:rFonts w:ascii="Calibri" w:cs="Calibri" w:eastAsia="Calibri" w:hAnsi="Calibri"/>
          <w:sz w:val="22"/>
          <w:szCs w:val="22"/>
        </w:rPr>
        <w:t xml:space="preserve">One framing note that helps: the tutor is not being asked to replace teaching. It is a practice partner for fifteen students who are currently freezing when they sit down alone with a problem. Faculty are being asked to rule on scope and notation, not to endorse an AI.</w:t>
      </w:r>
    </w:p>
    <w:p>
      <w:pPr>
        <w:pStyle w:val="Heading1"/>
        <w:spacing w:after="160" w:before="360"/>
      </w:pPr>
      <w:r>
        <w:rPr>
          <w:rFonts w:ascii="Calibri" w:cs="Calibri" w:eastAsia="Calibri" w:hAnsi="Calibri"/>
          <w:b/>
          <w:bCs/>
          <w:color w:val="1F3864"/>
          <w:sz w:val="30"/>
          <w:szCs w:val="30"/>
        </w:rPr>
        <w:t xml:space="preserve">Part A — The five that block the build</w:t>
      </w:r>
    </w:p>
    <w:p>
      <w:pPr>
        <w:pStyle w:val="Heading2"/>
        <w:spacing w:after="120" w:before="260"/>
      </w:pPr>
      <w:r>
        <w:rPr>
          <w:rFonts w:ascii="Calibri" w:cs="Calibri" w:eastAsia="Calibri" w:hAnsi="Calibri"/>
          <w:b/>
          <w:bCs/>
          <w:color w:val="2F5496"/>
          <w:sz w:val="24"/>
          <w:szCs w:val="24"/>
        </w:rPr>
        <w:t xml:space="preserve">A1.  Two topics are in the slides but missing from the tutor’s curriculum</w:t>
      </w:r>
    </w:p>
    <w:p>
      <w:pPr>
        <w:spacing w:after="140" w:line="276"/>
      </w:pPr>
      <w:r>
        <w:rPr>
          <w:rFonts w:ascii="Calibri" w:cs="Calibri" w:eastAsia="Calibri" w:hAnsi="Calibri"/>
          <w:b/>
          <w:bCs/>
          <w:color w:val="000000"/>
          <w:sz w:val="22"/>
          <w:szCs w:val="22"/>
        </w:rPr>
        <w:t xml:space="preserve">What I found:  </w:t>
      </w:r>
      <w:r>
        <w:rPr>
          <w:rFonts w:ascii="Calibri" w:cs="Calibri" w:eastAsia="Calibri" w:hAnsi="Calibri"/>
          <w:sz w:val="22"/>
          <w:szCs w:val="22"/>
        </w:rPr>
        <w:t xml:space="preserve">Deck 8 teaches two integration techniques — substitution, and integration by parts. The tutor instructions you wrote in Gemini list nine units, and neither technique appears anywhere in them. The same instructions also tell the tutor to stay within course scope and never say “that’s not in my materials.”</w:t>
      </w:r>
    </w:p>
    <w:p>
      <w:pPr>
        <w:spacing w:after="140" w:line="276"/>
      </w:pPr>
      <w:r>
        <w:rPr>
          <w:rFonts w:ascii="Calibri" w:cs="Calibri" w:eastAsia="Calibri" w:hAnsi="Calibri"/>
          <w:b/>
          <w:bCs/>
          <w:color w:val="000000"/>
          <w:sz w:val="22"/>
          <w:szCs w:val="22"/>
        </w:rPr>
        <w:t xml:space="preserve">Why it matters:  </w:t>
      </w:r>
      <w:r>
        <w:rPr>
          <w:rFonts w:ascii="Calibri" w:cs="Calibri" w:eastAsia="Calibri" w:hAnsi="Calibri"/>
          <w:sz w:val="22"/>
          <w:szCs w:val="22"/>
        </w:rPr>
        <w:t xml:space="preserve">Those two rules together mean that today, if a student asks about either technique, the tutor will not refuse and it will not stay quiet. It will improvise an answer from general knowledge — which is exactly where A2 goes wrong.</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“Deck 8 covers integration by substitution and integration by parts. Are both examinable in MAT142? Should the tutor teach them, or refuse and send the student to you?”</w:t>
      </w:r>
    </w:p>
    <w:p>
      <w:pPr>
        <w:spacing w:after="140" w:line="276"/>
      </w:pPr>
      <w:r>
        <w:rPr>
          <w:rFonts w:ascii="Calibri" w:cs="Calibri" w:eastAsia="Calibri" w:hAnsi="Calibri"/>
          <w:b/>
          <w:bCs/>
          <w:color w:val="000000"/>
          <w:sz w:val="22"/>
          <w:szCs w:val="22"/>
        </w:rPr>
        <w:t xml:space="preserve">A usable answer:  </w:t>
      </w:r>
      <w:r>
        <w:rPr>
          <w:rFonts w:ascii="Calibri" w:cs="Calibri" w:eastAsia="Calibri" w:hAnsi="Calibri"/>
          <w:sz w:val="22"/>
          <w:szCs w:val="22"/>
        </w:rPr>
        <w:t xml:space="preserve">a yes or no on each technique, plus whether it appears in assessments. If the answer is “they’re taught but not examined,” that is still useful — write it down exactly.</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A2.  Integration by parts is written differently in your slides than everywhere else</w:t>
      </w:r>
    </w:p>
    <w:p>
      <w:pPr>
        <w:spacing w:after="140" w:line="276"/>
      </w:pPr>
      <w:r>
        <w:rPr>
          <w:rFonts w:ascii="Calibri" w:cs="Calibri" w:eastAsia="Calibri" w:hAnsi="Calibri"/>
          <w:b/>
          <w:bCs/>
          <w:color w:val="000000"/>
          <w:sz w:val="22"/>
          <w:szCs w:val="22"/>
        </w:rPr>
        <w:t xml:space="preserve">What I found:  </w:t>
      </w:r>
      <w:r>
        <w:rPr>
          <w:rFonts w:ascii="Calibri" w:cs="Calibri" w:eastAsia="Calibri" w:hAnsi="Calibri"/>
          <w:sz w:val="22"/>
          <w:szCs w:val="22"/>
        </w:rPr>
        <w:t xml:space="preserve">There are two standard ways of writing this one rule. Your slides use one of them. Virtually every textbook, website and AI model defaults to the other, which uses different letters and a memory aid called LIATE. The two are mathematically identical and produce the same answers, but they look completely different on the page.</w:t>
      </w:r>
    </w:p>
    <w:p>
      <w:pPr>
        <w:spacing w:after="140" w:line="276"/>
      </w:pPr>
      <w:r>
        <w:rPr>
          <w:rFonts w:ascii="Calibri" w:cs="Calibri" w:eastAsia="Calibri" w:hAnsi="Calibri"/>
          <w:b/>
          <w:bCs/>
          <w:color w:val="000000"/>
          <w:sz w:val="22"/>
          <w:szCs w:val="22"/>
        </w:rPr>
        <w:t xml:space="preserve">Why it matters:  </w:t>
      </w:r>
      <w:r>
        <w:rPr>
          <w:rFonts w:ascii="Calibri" w:cs="Calibri" w:eastAsia="Calibri" w:hAnsi="Calibri"/>
          <w:sz w:val="22"/>
          <w:szCs w:val="22"/>
        </w:rPr>
        <w:t xml:space="preserve">A student who has only ever seen the slide version will not recognise the textbook version. At best they lose time; at worst they conclude they misunderstood the lecture. This is not hypothetical — while building your topic map, an AI assistant working for me recorded the rule in the textbook form even though the slide clearly showed the other. I caught it by reading the slide myself. It is the single most likely place for the tutor to quietly contradict the lecturer.</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“Your slides write integration by parts in a different form from the usual u–dv version with LIATE. Should the tutor use only your form, or is the standard one acceptable too?”</w:t>
      </w:r>
    </w:p>
    <w:p>
      <w:pPr>
        <w:spacing w:after="140" w:line="276"/>
      </w:pPr>
      <w:r>
        <w:rPr>
          <w:rFonts w:ascii="Calibri" w:cs="Calibri" w:eastAsia="Calibri" w:hAnsi="Calibri"/>
          <w:b/>
          <w:bCs/>
          <w:color w:val="000000"/>
          <w:sz w:val="22"/>
          <w:szCs w:val="22"/>
        </w:rPr>
        <w:t xml:space="preserve">A usable answer:  </w:t>
      </w:r>
      <w:r>
        <w:rPr>
          <w:rFonts w:ascii="Calibri" w:cs="Calibri" w:eastAsia="Calibri" w:hAnsi="Calibri"/>
          <w:sz w:val="22"/>
          <w:szCs w:val="22"/>
        </w:rPr>
        <w:t xml:space="preserve">“only ours” (most likely) or “either is fine.” Do not try to judge which is correct — both are. Just record the choice.</w:t>
      </w:r>
    </w:p>
    <w:p>
      <w:pPr>
        <w:spacing w:after="140" w:line="276"/>
      </w:pPr>
      <w:r>
        <w:rPr>
          <w:rFonts w:ascii="Calibri" w:cs="Calibri" w:eastAsia="Calibri" w:hAnsi="Calibri"/>
          <w:b/>
          <w:bCs/>
          <w:color w:val="000000"/>
          <w:sz w:val="22"/>
          <w:szCs w:val="22"/>
        </w:rPr>
        <w:t xml:space="preserve">Then widen it:  </w:t>
      </w:r>
      <w:r>
        <w:rPr>
          <w:rFonts w:ascii="Calibri" w:cs="Calibri" w:eastAsia="Calibri" w:hAnsi="Calibri"/>
          <w:sz w:val="22"/>
          <w:szCs w:val="22"/>
        </w:rPr>
        <w:t xml:space="preserve">ask whether there is anywhere else in the course where the notation deliberately differs from the standard one, and get a list. Any answer here is worth more than the specific one about integration by parts.</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A3.  Some example slides have no answers on them</w:t>
      </w:r>
    </w:p>
    <w:p>
      <w:pPr>
        <w:spacing w:after="140" w:line="276"/>
      </w:pPr>
      <w:r>
        <w:rPr>
          <w:rFonts w:ascii="Calibri" w:cs="Calibri" w:eastAsia="Calibri" w:hAnsi="Calibri"/>
          <w:b/>
          <w:bCs/>
          <w:color w:val="000000"/>
          <w:sz w:val="22"/>
          <w:szCs w:val="22"/>
        </w:rPr>
        <w:t xml:space="preserve">What I found:  </w:t>
      </w:r>
      <w:r>
        <w:rPr>
          <w:rFonts w:ascii="Calibri" w:cs="Calibri" w:eastAsia="Calibri" w:hAnsi="Calibri"/>
          <w:sz w:val="22"/>
          <w:szCs w:val="22"/>
        </w:rPr>
        <w:t xml:space="preserve">Several worked examples in deck 8 state the problem but show no solution — presumably they are worked live on the board.</w:t>
      </w:r>
    </w:p>
    <w:p>
      <w:pPr>
        <w:spacing w:after="140" w:line="276"/>
      </w:pPr>
      <w:r>
        <w:rPr>
          <w:rFonts w:ascii="Calibri" w:cs="Calibri" w:eastAsia="Calibri" w:hAnsi="Calibri"/>
          <w:b/>
          <w:bCs/>
          <w:color w:val="000000"/>
          <w:sz w:val="22"/>
          <w:szCs w:val="22"/>
        </w:rPr>
        <w:t xml:space="preserve">Why it matters:  </w:t>
      </w:r>
      <w:r>
        <w:rPr>
          <w:rFonts w:ascii="Calibri" w:cs="Calibri" w:eastAsia="Calibri" w:hAnsi="Calibri"/>
          <w:sz w:val="22"/>
          <w:szCs w:val="22"/>
        </w:rPr>
        <w:t xml:space="preserve">For those examples the tutor has to compute its own answer. It can do that, and I have been checking its answers against symbolic maths software, but a faculty-supplied solution is safer and it also tells the tutor which method the lecturer wants used.</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“Some of the examples on the integration slides are blank because you work them on the board. Do you have the worked solutions anywhere? Even photos of your notes would do.”</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A4.  The 55-topic map needs a sanity check</w:t>
      </w:r>
    </w:p>
    <w:p>
      <w:pPr>
        <w:spacing w:after="140" w:line="276"/>
      </w:pPr>
      <w:r>
        <w:rPr>
          <w:rFonts w:ascii="Calibri" w:cs="Calibri" w:eastAsia="Calibri" w:hAnsi="Calibri"/>
          <w:b/>
          <w:bCs/>
          <w:color w:val="000000"/>
          <w:sz w:val="22"/>
          <w:szCs w:val="22"/>
        </w:rPr>
        <w:t xml:space="preserve">What I found:  </w:t>
      </w:r>
      <w:r>
        <w:rPr>
          <w:rFonts w:ascii="Calibri" w:cs="Calibri" w:eastAsia="Calibri" w:hAnsi="Calibri"/>
          <w:sz w:val="22"/>
          <w:szCs w:val="22"/>
        </w:rPr>
        <w:t xml:space="preserve">I broke the nine decks into 55 teachable topics. Each one is meant to be about one tutoring session, and each records what a student must already be able to do before attempting it — that is what lets the tutor say “let’s go back a step” instead of pushing a stuck student forward.</w:t>
      </w:r>
    </w:p>
    <w:p>
      <w:pPr>
        <w:spacing w:after="140" w:line="276"/>
      </w:pPr>
      <w:r>
        <w:rPr>
          <w:rFonts w:ascii="Calibri" w:cs="Calibri" w:eastAsia="Calibri" w:hAnsi="Calibri"/>
          <w:b/>
          <w:bCs/>
          <w:color w:val="000000"/>
          <w:sz w:val="22"/>
          <w:szCs w:val="22"/>
        </w:rPr>
        <w:t xml:space="preserve">Why it matters:  </w:t>
      </w:r>
      <w:r>
        <w:rPr>
          <w:rFonts w:ascii="Calibri" w:cs="Calibri" w:eastAsia="Calibri" w:hAnsi="Calibri"/>
          <w:sz w:val="22"/>
          <w:szCs w:val="22"/>
        </w:rPr>
        <w:t xml:space="preserve">Everything I build sits on this map. If two topics are in the wrong order, the tutor will send students into material they are not ready for, and it will do it consistently, to all fifteen of them.</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“I’ve split your slides into 55 topics, roughly one per tutoring session. Could you skim the unit headings and flag anything that’s in the wrong order or lumped together wrongly? And is one topic about the right size for a 30-minute session?”</w:t>
      </w:r>
    </w:p>
    <w:p>
      <w:pPr>
        <w:spacing w:after="140" w:line="276"/>
      </w:pPr>
      <w:r>
        <w:rPr>
          <w:rFonts w:ascii="Calibri" w:cs="Calibri" w:eastAsia="Calibri" w:hAnsi="Calibri"/>
          <w:b/>
          <w:bCs/>
          <w:color w:val="000000"/>
          <w:sz w:val="22"/>
          <w:szCs w:val="22"/>
        </w:rPr>
        <w:t xml:space="preserve">How to run this:  </w:t>
      </w:r>
      <w:r>
        <w:rPr>
          <w:rFonts w:ascii="Calibri" w:cs="Calibri" w:eastAsia="Calibri" w:hAnsi="Calibri"/>
          <w:sz w:val="22"/>
          <w:szCs w:val="22"/>
        </w:rPr>
        <w:t xml:space="preserve">do not ask them to read all 55 in the meeting — that kills the rest of your agenda. Show the headings, get any obvious objections in the room, then leave the document with them with a deadline. If they will only ever look at one thing, this is the thing.</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A5.  Which pre-calculus gaps actually matter</w:t>
      </w:r>
    </w:p>
    <w:p>
      <w:pPr>
        <w:spacing w:after="140" w:line="276"/>
      </w:pPr>
      <w:r>
        <w:rPr>
          <w:rFonts w:ascii="Calibri" w:cs="Calibri" w:eastAsia="Calibri" w:hAnsi="Calibri"/>
          <w:b/>
          <w:bCs/>
          <w:color w:val="000000"/>
          <w:sz w:val="22"/>
          <w:szCs w:val="22"/>
        </w:rPr>
        <w:t xml:space="preserve">What I found:  </w:t>
      </w:r>
      <w:r>
        <w:rPr>
          <w:rFonts w:ascii="Calibri" w:cs="Calibri" w:eastAsia="Calibri" w:hAnsi="Calibri"/>
          <w:sz w:val="22"/>
          <w:szCs w:val="22"/>
        </w:rPr>
        <w:t xml:space="preserve">The map records which earlier skills each topic depends on. Three keep recurring: factoring, the rules for powers and roots, and simplifying algebraic fractions. Each of them blocks three or more calculus topics. In other words, a student failing on those is failing at algebra, not at calculus.</w:t>
      </w:r>
    </w:p>
    <w:p>
      <w:pPr>
        <w:spacing w:after="140" w:line="276"/>
      </w:pPr>
      <w:r>
        <w:rPr>
          <w:rFonts w:ascii="Calibri" w:cs="Calibri" w:eastAsia="Calibri" w:hAnsi="Calibri"/>
          <w:b/>
          <w:bCs/>
          <w:color w:val="000000"/>
          <w:sz w:val="22"/>
          <w:szCs w:val="22"/>
        </w:rPr>
        <w:t xml:space="preserve">Why it matters:  </w:t>
      </w:r>
      <w:r>
        <w:rPr>
          <w:rFonts w:ascii="Calibri" w:cs="Calibri" w:eastAsia="Calibri" w:hAnsi="Calibri"/>
          <w:sz w:val="22"/>
          <w:szCs w:val="22"/>
        </w:rPr>
        <w:t xml:space="preserve">This decides what the tutor checks first, and whether it is allowed to stop a calculus session and drop back into algebra. For the bottom of the cohort I suspect that is most of the value — but I am inferring it from the slides, and faculty have actually watched these students work.</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“When the students at the bottom of the cohort get stuck, is it usually the calculus or the algebra underneath it? Which specific gaps do you see over and over?”</w:t>
      </w:r>
    </w:p>
    <w:p>
      <w:pPr>
        <w:spacing w:after="140" w:line="276"/>
      </w:pPr>
      <w:r>
        <w:rPr>
          <w:rFonts w:ascii="Calibri" w:cs="Calibri" w:eastAsia="Calibri" w:hAnsi="Calibri"/>
          <w:b/>
          <w:bCs/>
          <w:color w:val="000000"/>
          <w:sz w:val="22"/>
          <w:szCs w:val="22"/>
        </w:rPr>
        <w:t xml:space="preserve">One more thing to check:  </w:t>
      </w:r>
      <w:r>
        <w:rPr>
          <w:rFonts w:ascii="Calibri" w:cs="Calibri" w:eastAsia="Calibri" w:hAnsi="Calibri"/>
          <w:sz w:val="22"/>
          <w:szCs w:val="22"/>
        </w:rPr>
        <w:t xml:space="preserve">the original Gemini instructions already contain a list of these gaps. Worth asking whether that list came from what faculty actually see, or was a first guess. If it was a guess, this is the moment to replace it.</w:t>
      </w:r>
    </w:p>
    <w:p>
      <w:r>
        <w:br w:type="page"/>
      </w:r>
    </w:p>
    <w:p>
      <w:pPr>
        <w:pStyle w:val="Heading1"/>
        <w:spacing w:after="160" w:before="360"/>
      </w:pPr>
      <w:r>
        <w:rPr>
          <w:rFonts w:ascii="Calibri" w:cs="Calibri" w:eastAsia="Calibri" w:hAnsi="Calibri"/>
          <w:b/>
          <w:bCs/>
          <w:color w:val="1F3864"/>
          <w:sz w:val="30"/>
          <w:szCs w:val="30"/>
        </w:rPr>
        <w:t xml:space="preserve">Part B — How the tutor should behave</w:t>
      </w:r>
    </w:p>
    <w:p>
      <w:pPr>
        <w:spacing w:after="140" w:line="276"/>
      </w:pPr>
      <w:r>
        <w:rPr>
          <w:rFonts w:ascii="Calibri" w:cs="Calibri" w:eastAsia="Calibri" w:hAnsi="Calibri"/>
          <w:sz w:val="22"/>
          <w:szCs w:val="22"/>
        </w:rPr>
        <w:t xml:space="preserve">These do not block me — I can build with sensible defaults and change them later. But they are cheap to settle now and they are the difference between a tutor faculty trust and one they quietly tell students to ignore.</w:t>
      </w:r>
    </w:p>
    <w:p>
      <w:pPr>
        <w:pStyle w:val="Heading2"/>
        <w:spacing w:after="120" w:before="260"/>
      </w:pPr>
      <w:r>
        <w:rPr>
          <w:rFonts w:ascii="Calibri" w:cs="Calibri" w:eastAsia="Calibri" w:hAnsi="Calibri"/>
          <w:b/>
          <w:bCs/>
          <w:color w:val="2F5496"/>
          <w:sz w:val="24"/>
          <w:szCs w:val="24"/>
        </w:rPr>
        <w:t xml:space="preserve">B1.  One method for maxima and minima, or two?</w:t>
      </w:r>
    </w:p>
    <w:p>
      <w:pPr>
        <w:spacing w:after="140" w:line="276"/>
      </w:pPr>
      <w:r>
        <w:rPr>
          <w:rFonts w:ascii="Calibri" w:cs="Calibri" w:eastAsia="Calibri" w:hAnsi="Calibri"/>
          <w:sz w:val="22"/>
          <w:szCs w:val="22"/>
        </w:rPr>
        <w:t xml:space="preserve">Your slides teach a single test for deciding whether a turning point is a peak or a trough. There is another common method that students will meet if they search online. This is the same situation as A2: both are correct, and the question is only whether the tutor is allowed to mention the one that is not in your slides.</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“If a student brings in a method from outside the slides that’s correct but isn’t how you taught it — should the tutor engage with it, or steer them back to your version?”</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B2.  Where the academic-integrity line sits</w:t>
      </w:r>
    </w:p>
    <w:p>
      <w:pPr>
        <w:spacing w:after="140" w:line="276"/>
      </w:pPr>
      <w:r>
        <w:rPr>
          <w:rFonts w:ascii="Calibri" w:cs="Calibri" w:eastAsia="Calibri" w:hAnsi="Calibri"/>
          <w:sz w:val="22"/>
          <w:szCs w:val="22"/>
        </w:rPr>
        <w:t xml:space="preserve">The current instructions refuse to do graded homework. That is the right instinct, but it is not precise enough to implement. I need to know what counts as graded, and what the tutor should do instead of refusing flatly.</w:t>
      </w:r>
    </w:p>
    <w:p>
      <w:pPr>
        <w:spacing w:after="140" w:line="276"/>
      </w:pPr>
      <w:r>
        <w:rPr>
          <w:rFonts w:ascii="Calibri" w:cs="Calibri" w:eastAsia="Calibri" w:hAnsi="Calibri"/>
          <w:sz w:val="22"/>
          <w:szCs w:val="22"/>
        </w:rPr>
        <w:t xml:space="preserve">The option I would recommend is that when a student pastes in what looks like an assignment question, the tutor does not refuse and does not answer — it teaches the same technique on a different problem it makes up. That is more useful to the student and much harder to game than a refusal, which just teaches them to reword the question.</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“What exactly counts as work the tutor must not do — assignments, quizzes, anything submitted? And if a student pastes in an assignment question, would you rather the tutor refuse, or teach the same method on a different problem?”</w:t>
      </w:r>
    </w:p>
    <w:p>
      <w:pPr>
        <w:spacing w:after="140" w:line="276"/>
      </w:pPr>
      <w:r>
        <w:rPr>
          <w:rFonts w:ascii="Calibri" w:cs="Calibri" w:eastAsia="Calibri" w:hAnsi="Calibri"/>
          <w:sz w:val="22"/>
          <w:szCs w:val="22"/>
        </w:rPr>
        <w:t xml:space="preserve">Also ask whether they want to know when it happens. I can log “student appeared to be asking about graded work” as a dashboard signal, or not record it at all. Both are defensible; it depends whether they want this to feel like a tutor or a proctor.</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B3.  How hard the tutor makes students work</w:t>
      </w:r>
    </w:p>
    <w:p>
      <w:pPr>
        <w:spacing w:after="140" w:line="276"/>
      </w:pPr>
      <w:r>
        <w:rPr>
          <w:rFonts w:ascii="Calibri" w:cs="Calibri" w:eastAsia="Calibri" w:hAnsi="Calibri"/>
          <w:sz w:val="22"/>
          <w:szCs w:val="22"/>
        </w:rPr>
        <w:t xml:space="preserve">The design so far: the tutor never confirms a wrong answer as right, and when a student is stuck it gives a sequence of increasingly specific hints rather than the solution. What is not settled is how many hints it gives before it just shows the worked answer.</w:t>
      </w:r>
    </w:p>
    <w:p>
      <w:pPr>
        <w:spacing w:after="140" w:line="276"/>
      </w:pPr>
      <w:r>
        <w:rPr>
          <w:rFonts w:ascii="Calibri" w:cs="Calibri" w:eastAsia="Calibri" w:hAnsi="Calibri"/>
          <w:sz w:val="22"/>
          <w:szCs w:val="22"/>
        </w:rPr>
        <w:t xml:space="preserve">This is the single biggest lever on whether the pilot produces learning or answer-harvesting, and it cuts both ways. Hold out too long and a struggling student gives up and closes the tab — which for this particular cohort is the more likely failure. Give in too fast and they learn nothing.</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“When a student is stuck, how long should the tutor hold out before showing them the full solution? Two hints? Three? Never?”</w:t>
      </w:r>
    </w:p>
    <w:p>
      <w:r>
        <w:br w:type="page"/>
      </w:r>
    </w:p>
    <w:p>
      <w:pPr>
        <w:pStyle w:val="Heading1"/>
        <w:spacing w:after="160" w:before="360"/>
      </w:pPr>
      <w:r>
        <w:rPr>
          <w:rFonts w:ascii="Calibri" w:cs="Calibri" w:eastAsia="Calibri" w:hAnsi="Calibri"/>
          <w:b/>
          <w:bCs/>
          <w:color w:val="1F3864"/>
          <w:sz w:val="30"/>
          <w:szCs w:val="30"/>
        </w:rPr>
        <w:t xml:space="preserve">Part C — Running the pilot</w:t>
      </w:r>
    </w:p>
    <w:p>
      <w:pPr>
        <w:spacing w:after="140" w:line="276"/>
      </w:pPr>
      <w:r>
        <w:rPr>
          <w:rFonts w:ascii="Calibri" w:cs="Calibri" w:eastAsia="Calibri" w:hAnsi="Calibri"/>
          <w:sz w:val="22"/>
          <w:szCs w:val="22"/>
        </w:rPr>
        <w:t xml:space="preserve">Nothing here is mathematical. These are joint decisions between you and faculty, and two of them matter more than anything in Part A.</w:t>
      </w:r>
    </w:p>
    <w:p>
      <w:pPr>
        <w:pStyle w:val="Heading2"/>
        <w:spacing w:after="120" w:before="260"/>
      </w:pPr>
      <w:r>
        <w:rPr>
          <w:rFonts w:ascii="Calibri" w:cs="Calibri" w:eastAsia="Calibri" w:hAnsi="Calibri"/>
          <w:b/>
          <w:bCs/>
          <w:color w:val="2F5496"/>
          <w:sz w:val="24"/>
          <w:szCs w:val="24"/>
        </w:rPr>
        <w:t xml:space="preserve">C1.  Voluntary, or attached to a mark?</w:t>
      </w:r>
    </w:p>
    <w:p>
      <w:pPr>
        <w:spacing w:after="140" w:line="276"/>
      </w:pPr>
      <w:r>
        <w:rPr>
          <w:rFonts w:ascii="Calibri" w:cs="Calibri" w:eastAsia="Calibri" w:hAnsi="Calibri"/>
          <w:sz w:val="22"/>
          <w:szCs w:val="22"/>
        </w:rPr>
        <w:t xml:space="preserve">This is the biggest risk to the whole project, and it has nothing to do with the technology. Optional academic support is used least by exactly the students who need it most — that is a well-documented pattern, and this pilot is aimed squarely at that group. A tutor that fifteen students never open is a more likely outcome than a tutor that teaches them badly.</w:t>
      </w:r>
    </w:p>
    <w:p>
      <w:pPr>
        <w:spacing w:after="140" w:line="276"/>
      </w:pPr>
      <w:r>
        <w:rPr>
          <w:rFonts w:ascii="Calibri" w:cs="Calibri" w:eastAsia="Calibri" w:hAnsi="Calibri"/>
          <w:sz w:val="22"/>
          <w:szCs w:val="22"/>
        </w:rPr>
        <w:t xml:space="preserve">The course outline allocates 5% to class participation. That is a possible lever: even a low bar, such as four completed sessions across the term, changes the default from “opt in when I feel like it” to “opt out deliberately.”</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“Can any part of the participation mark attach to using the tutor — even something small like four sessions across the term? Without that I think we should expect very low uptake from exactly the students we’re targeting.”</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C2.  How the fifteen are chosen, and what they are told</w:t>
      </w:r>
    </w:p>
    <w:p>
      <w:pPr>
        <w:spacing w:after="140" w:line="276"/>
      </w:pPr>
      <w:r>
        <w:rPr>
          <w:rFonts w:ascii="Calibri" w:cs="Calibri" w:eastAsia="Calibri" w:hAnsi="Calibri"/>
          <w:sz w:val="22"/>
          <w:szCs w:val="22"/>
        </w:rPr>
        <w:t xml:space="preserve">This is the most sensitive decision in the project, and it should be faculty’s, not yours. Being told you have been placed in a remedial group can do more damage to a struggling student’s confidence than the tutor can undo — and low confidence is already the thing keeping them from asking questions in class.</w:t>
      </w:r>
    </w:p>
    <w:p>
      <w:pPr>
        <w:spacing w:after="140" w:line="276"/>
      </w:pPr>
      <w:r>
        <w:rPr>
          <w:rFonts w:ascii="Calibri" w:cs="Calibri" w:eastAsia="Calibri" w:hAnsi="Calibri"/>
          <w:sz w:val="22"/>
          <w:szCs w:val="22"/>
        </w:rPr>
        <w:t xml:space="preserve">Three framings worth putting on the table: run it as an open pilot that anyone can join, while personally inviting the fifteen; offer it to the whole cohort but only build for fifteen seats; or be direct with the students about why they were picked. The third is the most honest and the riskiest. Ask faculty to choose.</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“How do you want to identify these fifteen, and what do we tell them about why they were chosen? I’d rather not have them work out for themselves that they’re the bottom of the class.”</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C3.  What faculty see, and what students must be told</w:t>
      </w:r>
    </w:p>
    <w:p>
      <w:pPr>
        <w:spacing w:after="140" w:line="276"/>
      </w:pPr>
      <w:r>
        <w:rPr>
          <w:rFonts w:ascii="Calibri" w:cs="Calibri" w:eastAsia="Calibri" w:hAnsi="Calibri"/>
          <w:sz w:val="22"/>
          <w:szCs w:val="22"/>
        </w:rPr>
        <w:t xml:space="preserve">The dashboard will show signals, not conversations: which topics a student attempted, where they got stuck and for how long, how long their sessions ran, whether they appear to be fishing for answers, and who has not logged in.</w:t>
      </w:r>
    </w:p>
    <w:p>
      <w:pPr>
        <w:spacing w:after="140" w:line="276"/>
      </w:pPr>
      <w:r>
        <w:rPr>
          <w:rFonts w:ascii="Calibri" w:cs="Calibri" w:eastAsia="Calibri" w:hAnsi="Calibri"/>
          <w:sz w:val="22"/>
          <w:szCs w:val="22"/>
        </w:rPr>
        <w:t xml:space="preserve">There is one point here that is easy to get wrong and important to get right. The conversations are stored. They have to be — the tutor cannot remember a student’s progress from one week to the next without keeping a record. The dashboard simply will not display them. So students must be told that their conversations are saved and that faculty see summary patterns rather than the text. Please do not let anyone tell students their conversations are not stored, because that will not be true.</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“Here’s exactly what the dashboard will show you, and here’s what we’d tell students about it. Can you approve that wording before we launch?”</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C4.  Who counts as “faculty”?</w:t>
      </w:r>
    </w:p>
    <w:p>
      <w:pPr>
        <w:spacing w:after="140" w:line="276"/>
      </w:pPr>
      <w:r>
        <w:rPr>
          <w:rFonts w:ascii="Calibri" w:cs="Calibri" w:eastAsia="Calibri" w:hAnsi="Calibri"/>
          <w:sz w:val="22"/>
          <w:szCs w:val="22"/>
        </w:rPr>
        <w:t xml:space="preserve">One instructor, or several? Do the TAs get access? The original tutor instructions end each session by producing a recap for the student’s TA, so TAs are clearly part of the picture already. This determines who gets a login, and it is worth settling before rather than after students are told who can see what.</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C5.  The four flags — would anyone act on them?</w:t>
      </w:r>
    </w:p>
    <w:p>
      <w:pPr>
        <w:spacing w:after="140" w:line="276"/>
      </w:pPr>
      <w:r>
        <w:rPr>
          <w:rFonts w:ascii="Calibri" w:cs="Calibri" w:eastAsia="Calibri" w:hAnsi="Calibri"/>
          <w:sz w:val="22"/>
          <w:szCs w:val="22"/>
        </w:rPr>
        <w:t xml:space="preserve">You asked for four: a student who has not logged in recently, one who is stuck on the same thing repeatedly, one whose sessions are very short, and one who appears to be fishing for answers. All four are buildable. The question is whether anyone will do anything when one fires, because a flag nobody acts on is just noise that trains people to ignore the dashboard.</w:t>
      </w:r>
    </w:p>
    <w:p>
      <w:pPr>
        <w:pBdr>
          <w:left w:val="single" w:color="4472C4" w:sz="12" w:space="8"/>
        </w:pBdr>
        <w:spacing w:after="160" w:before="60" w:line="276"/>
        <w:ind w:left="360"/>
      </w:pPr>
      <w:r>
        <w:rPr>
          <w:rFonts w:ascii="Calibri" w:cs="Calibri" w:eastAsia="Calibri" w:hAnsi="Calibri"/>
          <w:b/>
          <w:bCs/>
          <w:color w:val="2F5496"/>
          <w:sz w:val="22"/>
          <w:szCs w:val="22"/>
        </w:rPr>
        <w:t xml:space="preserve">Ask them:  </w:t>
      </w:r>
      <w:r>
        <w:rPr>
          <w:rFonts w:ascii="Calibri" w:cs="Calibri" w:eastAsia="Calibri" w:hAnsi="Calibri"/>
          <w:i/>
          <w:iCs/>
          <w:sz w:val="22"/>
          <w:szCs w:val="22"/>
        </w:rPr>
        <w:t xml:space="preserve">“If the dashboard tells you a student hasn’t logged in for two weeks, or keeps getting stuck on the same topic — what would you actually do? Who follows up?”</w:t>
      </w:r>
    </w:p>
    <w:p>
      <w:r>
        <w:br w:type="page"/>
      </w:r>
    </w:p>
    <w:p>
      <w:pPr>
        <w:pStyle w:val="Heading1"/>
        <w:spacing w:after="160" w:before="360"/>
      </w:pPr>
      <w:r>
        <w:rPr>
          <w:rFonts w:ascii="Calibri" w:cs="Calibri" w:eastAsia="Calibri" w:hAnsi="Calibri"/>
          <w:b/>
          <w:bCs/>
          <w:color w:val="1F3864"/>
          <w:sz w:val="30"/>
          <w:szCs w:val="30"/>
        </w:rPr>
        <w:t xml:space="preserve">Part D — Housekeeping</w:t>
      </w:r>
    </w:p>
    <w:p>
      <w:pPr>
        <w:pStyle w:val="Heading2"/>
        <w:spacing w:after="120" w:before="260"/>
      </w:pPr>
      <w:r>
        <w:rPr>
          <w:rFonts w:ascii="Calibri" w:cs="Calibri" w:eastAsia="Calibri" w:hAnsi="Calibri"/>
          <w:b/>
          <w:bCs/>
          <w:color w:val="2F5496"/>
          <w:sz w:val="24"/>
          <w:szCs w:val="24"/>
        </w:rPr>
        <w:t xml:space="preserve">D1.  The course outline in the folder is for the wrong course</w:t>
      </w:r>
    </w:p>
    <w:p>
      <w:pPr>
        <w:spacing w:after="140" w:line="276"/>
      </w:pPr>
      <w:r>
        <w:rPr>
          <w:rFonts w:ascii="Calibri" w:cs="Calibri" w:eastAsia="Calibri" w:hAnsi="Calibri"/>
          <w:sz w:val="22"/>
          <w:szCs w:val="22"/>
        </w:rPr>
        <w:t xml:space="preserve">The file named “MAT 142 Monsoon 2026-Course Outline.pdf” is not the MAT142 outline. It is the outline for MAT146 Intermediate Calculus — it names Ashwin Pande as faculty and covers Thomas chapters 6 to 10 and 14. Someone has shared the wrong file.</w:t>
      </w:r>
    </w:p>
    <w:p>
      <w:pPr>
        <w:spacing w:after="140" w:line="276"/>
      </w:pPr>
      <w:r>
        <w:rPr>
          <w:rFonts w:ascii="Calibri" w:cs="Calibri" w:eastAsia="Calibri" w:hAnsi="Calibri"/>
          <w:sz w:val="22"/>
          <w:szCs w:val="22"/>
        </w:rPr>
        <w:t xml:space="preserve">I need the real one for the assessment schedule and the weight given to each topic, so the tutor knows to press harder on a topic in the fortnight before it is examined. Ask for it, and mention the mix-up so nobody else builds on it.</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D2.  Confirm the slides are current</w:t>
      </w:r>
    </w:p>
    <w:p>
      <w:pPr>
        <w:spacing w:after="140" w:line="276"/>
      </w:pPr>
      <w:r>
        <w:rPr>
          <w:rFonts w:ascii="Calibri" w:cs="Calibri" w:eastAsia="Calibri" w:hAnsi="Calibri"/>
          <w:sz w:val="22"/>
          <w:szCs w:val="22"/>
        </w:rPr>
        <w:t xml:space="preserve">I have nine decks, 252 slides. Ask whether these are this term’s versions and whether the teaching order matches the file numbering. If a deck is revised mid-term, I need to know so the topic map can be updated — otherwise the tutor teaches last year’s course.</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D3.  No textbook</w:t>
      </w:r>
    </w:p>
    <w:p>
      <w:pPr>
        <w:spacing w:after="140" w:line="276"/>
      </w:pPr>
      <w:r>
        <w:rPr>
          <w:rFonts w:ascii="Calibri" w:cs="Calibri" w:eastAsia="Calibri" w:hAnsi="Calibri"/>
          <w:sz w:val="22"/>
          <w:szCs w:val="22"/>
        </w:rPr>
        <w:t xml:space="preserve">We agreed the tutor will not use Thomas Calculus, for copyright reasons. It works only from the slides. The practical consequence is that it will never say “see page 412”, and if a student quotes a textbook passage it will not recognise it. Faculty should know that and be comfortable with it.</w:t>
      </w:r>
    </w:p>
    <w:p>
      <w:pPr>
        <w:pBdr>
          <w:bottom w:val="single" w:color="BFBFBF" w:sz="6" w:space="1"/>
        </w:pBdr>
        <w:spacing w:after="200" w:before="60"/>
      </w:pPr>
      <w:r>
        <w:rPr>
          <w:rFonts w:ascii="Calibri" w:cs="Calibri" w:eastAsia="Calibri" w:hAnsi="Calibri"/>
          <w:sz w:val="4"/>
          <w:szCs w:val="4"/>
        </w:rPr>
        <w:t xml:space="preserve"/>
      </w:r>
    </w:p>
    <w:p>
      <w:pPr>
        <w:pStyle w:val="Heading2"/>
        <w:spacing w:after="120" w:before="260"/>
      </w:pPr>
      <w:r>
        <w:rPr>
          <w:rFonts w:ascii="Calibri" w:cs="Calibri" w:eastAsia="Calibri" w:hAnsi="Calibri"/>
          <w:b/>
          <w:bCs/>
          <w:color w:val="2F5496"/>
          <w:sz w:val="24"/>
          <w:szCs w:val="24"/>
        </w:rPr>
        <w:t xml:space="preserve">D4.  Cost — for information, not for debate</w:t>
      </w:r>
    </w:p>
    <w:p>
      <w:pPr>
        <w:spacing w:after="140" w:line="276"/>
      </w:pPr>
      <w:r>
        <w:rPr>
          <w:rFonts w:ascii="Calibri" w:cs="Calibri" w:eastAsia="Calibri" w:hAnsi="Calibri"/>
          <w:sz w:val="22"/>
          <w:szCs w:val="22"/>
        </w:rPr>
        <w:t xml:space="preserve">Fifteen students doing ten sessions each on Claude Opus works out at roughly $126 for the semester, about ₹11,000, or ₹740 per student. Hosting is free at this scale. I have modelled the heavy-usage case too: even if every student uses it far more than expected, it stays under ₹20,000.</w:t>
      </w:r>
    </w:p>
    <w:p>
      <w:pPr>
        <w:spacing w:after="140" w:line="276"/>
      </w:pPr>
      <w:r>
        <w:rPr>
          <w:rFonts w:ascii="Calibri" w:cs="Calibri" w:eastAsia="Calibri" w:hAnsi="Calibri"/>
          <w:sz w:val="22"/>
          <w:szCs w:val="22"/>
        </w:rPr>
        <w:t xml:space="preserve">What does need deciding is who owns the account and whose card it sits on — that is a department question, not a faculty one, but it is worth raising in the same meeting so it does not become the thing that delays launch.</w:t>
      </w:r>
    </w:p>
    <w:p>
      <w:r>
        <w:br w:type="page"/>
      </w:r>
    </w:p>
    <w:p>
      <w:pPr>
        <w:pStyle w:val="Heading1"/>
        <w:spacing w:after="160" w:before="360"/>
      </w:pPr>
      <w:r>
        <w:rPr>
          <w:rFonts w:ascii="Calibri" w:cs="Calibri" w:eastAsia="Calibri" w:hAnsi="Calibri"/>
          <w:b/>
          <w:bCs/>
          <w:color w:val="1F3864"/>
          <w:sz w:val="30"/>
          <w:szCs w:val="30"/>
        </w:rPr>
        <w:t xml:space="preserve">Take this page into the meeting</w:t>
      </w:r>
    </w:p>
    <w:p>
      <w:pPr>
        <w:spacing w:after="140" w:line="276"/>
      </w:pPr>
      <w:r>
        <w:rPr>
          <w:rFonts w:ascii="Calibri" w:cs="Calibri" w:eastAsia="Calibri" w:hAnsi="Calibri"/>
          <w:i/>
          <w:iCs/>
          <w:sz w:val="22"/>
          <w:szCs w:val="22"/>
        </w:rPr>
        <w:t xml:space="preserve">Print it and write in the last column. If you get through Part A and C1–C2 and nothing else, the meeting was a success.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1900"/>
        <w:gridCol w:w="1740"/>
      </w:tblGrid>
      <w:tr>
        <w:trPr>
          <w:tblHeader/>
        </w:trPr>
        <w:tc>
          <w:tcPr>
            <w:tcW w:type="dxa" w:w="700"/>
            <w:shd w:fill="1F3864" w:color="auto" w:val="clear"/>
            <w:tcMar>
              <w:top w:type="dxa" w:w="80"/>
              <w:left w:type="dxa" w:w="120"/>
              <w:bottom w:type="dxa" w:w="80"/>
              <w:right w:type="dxa" w:w="120"/>
            </w:tcMar>
          </w:tcPr>
          <w:p>
            <w:pPr>
              <w:spacing w:after="0" w:line="252"/>
              <w:jc w:val="left"/>
            </w:pPr>
            <w:r>
              <w:rPr>
                <w:rFonts w:ascii="Calibri" w:cs="Calibri" w:eastAsia="Calibri" w:hAnsi="Calibri"/>
                <w:b/>
                <w:bCs/>
                <w:color w:val="FFFFFF"/>
                <w:sz w:val="20"/>
                <w:szCs w:val="20"/>
              </w:rPr>
              <w:t xml:space="preserve">#</w:t>
            </w:r>
          </w:p>
        </w:tc>
        <w:tc>
          <w:tcPr>
            <w:tcW w:type="dxa" w:w="4900"/>
            <w:shd w:fill="1F3864" w:color="auto" w:val="clear"/>
            <w:tcMar>
              <w:top w:type="dxa" w:w="80"/>
              <w:left w:type="dxa" w:w="120"/>
              <w:bottom w:type="dxa" w:w="80"/>
              <w:right w:type="dxa" w:w="120"/>
            </w:tcMar>
          </w:tcPr>
          <w:p>
            <w:pPr>
              <w:spacing w:after="0" w:line="252"/>
              <w:jc w:val="left"/>
            </w:pPr>
            <w:r>
              <w:rPr>
                <w:rFonts w:ascii="Calibri" w:cs="Calibri" w:eastAsia="Calibri" w:hAnsi="Calibri"/>
                <w:b/>
                <w:bCs/>
                <w:color w:val="FFFFFF"/>
                <w:sz w:val="20"/>
                <w:szCs w:val="20"/>
              </w:rPr>
              <w:t xml:space="preserve">Question</w:t>
            </w:r>
          </w:p>
        </w:tc>
        <w:tc>
          <w:tcPr>
            <w:tcW w:type="dxa" w:w="1900"/>
            <w:shd w:fill="1F3864" w:color="auto" w:val="clear"/>
            <w:tcMar>
              <w:top w:type="dxa" w:w="80"/>
              <w:left w:type="dxa" w:w="120"/>
              <w:bottom w:type="dxa" w:w="80"/>
              <w:right w:type="dxa" w:w="120"/>
            </w:tcMar>
          </w:tcPr>
          <w:p>
            <w:pPr>
              <w:spacing w:after="0" w:line="252"/>
              <w:jc w:val="left"/>
            </w:pPr>
            <w:r>
              <w:rPr>
                <w:rFonts w:ascii="Calibri" w:cs="Calibri" w:eastAsia="Calibri" w:hAnsi="Calibri"/>
                <w:b/>
                <w:bCs/>
                <w:color w:val="FFFFFF"/>
                <w:sz w:val="20"/>
                <w:szCs w:val="20"/>
              </w:rPr>
              <w:t xml:space="preserve">Who decides</w:t>
            </w:r>
          </w:p>
        </w:tc>
        <w:tc>
          <w:tcPr>
            <w:tcW w:type="dxa" w:w="1740"/>
            <w:shd w:fill="1F3864" w:color="auto" w:val="clear"/>
            <w:tcMar>
              <w:top w:type="dxa" w:w="80"/>
              <w:left w:type="dxa" w:w="120"/>
              <w:bottom w:type="dxa" w:w="80"/>
              <w:right w:type="dxa" w:w="120"/>
            </w:tcMar>
          </w:tcPr>
          <w:p>
            <w:pPr>
              <w:spacing w:after="0" w:line="252"/>
              <w:jc w:val="left"/>
            </w:pPr>
            <w:r>
              <w:rPr>
                <w:rFonts w:ascii="Calibri" w:cs="Calibri" w:eastAsia="Calibri" w:hAnsi="Calibri"/>
                <w:b/>
                <w:bCs/>
                <w:color w:val="FFFFFF"/>
                <w:sz w:val="20"/>
                <w:szCs w:val="20"/>
              </w:rPr>
              <w:t xml:space="preserve">Answer</w:t>
            </w:r>
          </w:p>
        </w:tc>
      </w:tr>
      <w:tr>
        <w:tc>
          <w:tcPr>
            <w:tcW w:type="dxa" w:w="700"/>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A1</w:t>
            </w:r>
          </w:p>
        </w:tc>
        <w:tc>
          <w:tcPr>
            <w:tcW w:type="dxa" w:w="4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Are substitution and integration by parts in MAT142 scope?</w:t>
            </w:r>
          </w:p>
        </w:tc>
        <w:tc>
          <w:tcPr>
            <w:tcW w:type="dxa" w:w="1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shd w:fill="F2F5FB" w:color="auto" w:val="clear"/>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A2</w:t>
            </w:r>
          </w:p>
        </w:tc>
        <w:tc>
          <w:tcPr>
            <w:tcW w:type="dxa" w:w="4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Use only the slide form of integration by parts?</w:t>
            </w:r>
          </w:p>
        </w:tc>
        <w:tc>
          <w:tcPr>
            <w:tcW w:type="dxa" w:w="1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A3</w:t>
            </w:r>
          </w:p>
        </w:tc>
        <w:tc>
          <w:tcPr>
            <w:tcW w:type="dxa" w:w="4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Worked solutions for the blank example slides?</w:t>
            </w:r>
          </w:p>
        </w:tc>
        <w:tc>
          <w:tcPr>
            <w:tcW w:type="dxa" w:w="1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shd w:fill="F2F5FB" w:color="auto" w:val="clear"/>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A4</w:t>
            </w:r>
          </w:p>
        </w:tc>
        <w:tc>
          <w:tcPr>
            <w:tcW w:type="dxa" w:w="4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Is the 55-topic order and grain size right?</w:t>
            </w:r>
          </w:p>
        </w:tc>
        <w:tc>
          <w:tcPr>
            <w:tcW w:type="dxa" w:w="1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A5</w:t>
            </w:r>
          </w:p>
        </w:tc>
        <w:tc>
          <w:tcPr>
            <w:tcW w:type="dxa" w:w="4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Which pre-calculus gaps matter most?</w:t>
            </w:r>
          </w:p>
        </w:tc>
        <w:tc>
          <w:tcPr>
            <w:tcW w:type="dxa" w:w="1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 / TA</w:t>
            </w:r>
          </w:p>
        </w:tc>
        <w:tc>
          <w:tcPr>
            <w:tcW w:type="dxa" w:w="174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shd w:fill="F2F5FB" w:color="auto" w:val="clear"/>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B1</w:t>
            </w:r>
          </w:p>
        </w:tc>
        <w:tc>
          <w:tcPr>
            <w:tcW w:type="dxa" w:w="4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Second-derivative test only, or may the other be mentioned?</w:t>
            </w:r>
          </w:p>
        </w:tc>
        <w:tc>
          <w:tcPr>
            <w:tcW w:type="dxa" w:w="1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B2</w:t>
            </w:r>
          </w:p>
        </w:tc>
        <w:tc>
          <w:tcPr>
            <w:tcW w:type="dxa" w:w="4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What counts as graded work the tutor must refuse?</w:t>
            </w:r>
          </w:p>
        </w:tc>
        <w:tc>
          <w:tcPr>
            <w:tcW w:type="dxa" w:w="1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shd w:fill="F2F5FB" w:color="auto" w:val="clear"/>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B3</w:t>
            </w:r>
          </w:p>
        </w:tc>
        <w:tc>
          <w:tcPr>
            <w:tcW w:type="dxa" w:w="4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How many hints before the tutor shows the solution?</w:t>
            </w:r>
          </w:p>
        </w:tc>
        <w:tc>
          <w:tcPr>
            <w:tcW w:type="dxa" w:w="1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C1</w:t>
            </w:r>
          </w:p>
        </w:tc>
        <w:tc>
          <w:tcPr>
            <w:tcW w:type="dxa" w:w="4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Voluntary, or attached to the 5% participation mark?</w:t>
            </w:r>
          </w:p>
        </w:tc>
        <w:tc>
          <w:tcPr>
            <w:tcW w:type="dxa" w:w="1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shd w:fill="F2F5FB" w:color="auto" w:val="clear"/>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C2</w:t>
            </w:r>
          </w:p>
        </w:tc>
        <w:tc>
          <w:tcPr>
            <w:tcW w:type="dxa" w:w="4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How are the 15 chosen, and what are they told?</w:t>
            </w:r>
          </w:p>
        </w:tc>
        <w:tc>
          <w:tcPr>
            <w:tcW w:type="dxa" w:w="1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 + you</w:t>
            </w:r>
          </w:p>
        </w:tc>
        <w:tc>
          <w:tcPr>
            <w:tcW w:type="dxa" w:w="174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C3</w:t>
            </w:r>
          </w:p>
        </w:tc>
        <w:tc>
          <w:tcPr>
            <w:tcW w:type="dxa" w:w="4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Approve the student privacy wording</w:t>
            </w:r>
          </w:p>
        </w:tc>
        <w:tc>
          <w:tcPr>
            <w:tcW w:type="dxa" w:w="1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 + you</w:t>
            </w:r>
          </w:p>
        </w:tc>
        <w:tc>
          <w:tcPr>
            <w:tcW w:type="dxa" w:w="174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shd w:fill="F2F5FB" w:color="auto" w:val="clear"/>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C4</w:t>
            </w:r>
          </w:p>
        </w:tc>
        <w:tc>
          <w:tcPr>
            <w:tcW w:type="dxa" w:w="4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Who gets a dashboard login?</w:t>
            </w:r>
          </w:p>
        </w:tc>
        <w:tc>
          <w:tcPr>
            <w:tcW w:type="dxa" w:w="1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C5</w:t>
            </w:r>
          </w:p>
        </w:tc>
        <w:tc>
          <w:tcPr>
            <w:tcW w:type="dxa" w:w="4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What would you actually do about each flag?</w:t>
            </w:r>
          </w:p>
        </w:tc>
        <w:tc>
          <w:tcPr>
            <w:tcW w:type="dxa" w:w="1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 / TA</w:t>
            </w:r>
          </w:p>
        </w:tc>
        <w:tc>
          <w:tcPr>
            <w:tcW w:type="dxa" w:w="174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shd w:fill="F2F5FB" w:color="auto" w:val="clear"/>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D1</w:t>
            </w:r>
          </w:p>
        </w:tc>
        <w:tc>
          <w:tcPr>
            <w:tcW w:type="dxa" w:w="4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Send the correct MAT142 outline (folder copy is MAT146)</w:t>
            </w:r>
          </w:p>
        </w:tc>
        <w:tc>
          <w:tcPr>
            <w:tcW w:type="dxa" w:w="1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D2</w:t>
            </w:r>
          </w:p>
        </w:tc>
        <w:tc>
          <w:tcPr>
            <w:tcW w:type="dxa" w:w="4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Confirm the nine decks are current, and teaching order</w:t>
            </w:r>
          </w:p>
        </w:tc>
        <w:tc>
          <w:tcPr>
            <w:tcW w:type="dxa" w:w="1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shd w:fill="F2F5FB" w:color="auto" w:val="clear"/>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D3</w:t>
            </w:r>
          </w:p>
        </w:tc>
        <w:tc>
          <w:tcPr>
            <w:tcW w:type="dxa" w:w="4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OK that the tutor never cites the textbook?</w:t>
            </w:r>
          </w:p>
        </w:tc>
        <w:tc>
          <w:tcPr>
            <w:tcW w:type="dxa" w:w="190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Instructor</w:t>
            </w:r>
          </w:p>
        </w:tc>
        <w:tc>
          <w:tcPr>
            <w:tcW w:type="dxa" w:w="1740"/>
            <w:shd w:fill="F2F5FB" w:color="auto" w:val="clear"/>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r>
        <w:tc>
          <w:tcPr>
            <w:tcW w:type="dxa" w:w="700"/>
            <w:tcMar>
              <w:top w:type="dxa" w:w="80"/>
              <w:left w:type="dxa" w:w="120"/>
              <w:bottom w:type="dxa" w:w="80"/>
              <w:right w:type="dxa" w:w="120"/>
            </w:tcMar>
          </w:tcPr>
          <w:p>
            <w:pPr>
              <w:spacing w:after="0" w:line="252"/>
              <w:jc w:val="left"/>
            </w:pPr>
            <w:r>
              <w:rPr>
                <w:rFonts w:ascii="Calibri" w:cs="Calibri" w:eastAsia="Calibri" w:hAnsi="Calibri"/>
                <w:b/>
                <w:bCs/>
                <w:sz w:val="20"/>
                <w:szCs w:val="20"/>
              </w:rPr>
              <w:t xml:space="preserve">D4</w:t>
            </w:r>
          </w:p>
        </w:tc>
        <w:tc>
          <w:tcPr>
            <w:tcW w:type="dxa" w:w="4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Who owns the API account and pays the ~₹11,000?</w:t>
            </w:r>
          </w:p>
        </w:tc>
        <w:tc>
          <w:tcPr>
            <w:tcW w:type="dxa" w:w="190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Department</w:t>
            </w:r>
          </w:p>
        </w:tc>
        <w:tc>
          <w:tcPr>
            <w:tcW w:type="dxa" w:w="1740"/>
            <w:tcMar>
              <w:top w:type="dxa" w:w="80"/>
              <w:left w:type="dxa" w:w="120"/>
              <w:bottom w:type="dxa" w:w="80"/>
              <w:right w:type="dxa" w:w="120"/>
            </w:tcMar>
          </w:tcPr>
          <w:p>
            <w:pPr>
              <w:spacing w:after="0" w:line="252"/>
              <w:jc w:val="left"/>
            </w:pPr>
            <w:r>
              <w:rPr>
                <w:rFonts w:ascii="Calibri" w:cs="Calibri" w:eastAsia="Calibri" w:hAnsi="Calibri"/>
                <w:b w:val="false"/>
                <w:bCs w:val="false"/>
                <w:sz w:val="20"/>
                <w:szCs w:val="20"/>
              </w:rPr>
              <w:t xml:space="preserve"/>
            </w:r>
          </w:p>
        </w:tc>
      </w:tr>
    </w:tbl>
    <w:p>
      <w:pPr>
        <w:spacing w:before="30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2F5496"/>
          <w:sz w:val="24"/>
          <w:szCs w:val="24"/>
        </w:rPr>
        <w:t xml:space="preserve">What happens with the answers</w:t>
      </w:r>
    </w:p>
    <w:p>
      <w:pPr>
        <w:spacing w:after="140" w:line="276"/>
      </w:pPr>
      <w:r>
        <w:rPr>
          <w:rFonts w:ascii="Calibri" w:cs="Calibri" w:eastAsia="Calibri" w:hAnsi="Calibri"/>
          <w:sz w:val="22"/>
          <w:szCs w:val="22"/>
        </w:rPr>
        <w:t xml:space="preserve">Part A unblocks the build — I cannot finalise the topic map or write the tutor’s instructions without those five. Part B goes straight into the tutor’s behaviour rules. Part C shapes what students are told and what the dashboard shows. Part D I can chase separately if you would rather not spend meeting time on it.</w:t>
      </w:r>
    </w:p>
    <w:p>
      <w:pPr>
        <w:spacing w:after="140" w:line="276"/>
      </w:pPr>
      <w:r>
        <w:rPr>
          <w:rFonts w:ascii="Calibri" w:cs="Calibri" w:eastAsia="Calibri" w:hAnsi="Calibri"/>
          <w:sz w:val="22"/>
          <w:szCs w:val="22"/>
        </w:rPr>
        <w:t xml:space="preserve">Send me whatever you get, even if it is partial or scribbled, and I will carry on from there.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MAT142 AI Tutor — Faculty Discussion Briefing</dc:title>
  <dc:creator>Juhi</dc:creator>
  <dc:description>Questions to settle with MAT142 faculty before building the AI tutor</dc:description>
  <cp:lastModifiedBy>Un-named</cp:lastModifiedBy>
  <cp:revision>1</cp:revision>
  <dcterms:created xsi:type="dcterms:W3CDTF">2026-09-03T06:39:58.580Z</dcterms:created>
  <dcterms:modified xsi:type="dcterms:W3CDTF">2026-09-03T06:39:58.580Z</dcterms:modified>
</cp:coreProperties>
</file>

<file path=docProps/custom.xml><?xml version="1.0" encoding="utf-8"?>
<Properties xmlns="http://schemas.openxmlformats.org/officeDocument/2006/custom-properties" xmlns:vt="http://schemas.openxmlformats.org/officeDocument/2006/docPropsVTypes"/>
</file>