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40" w:line="259" w:lineRule="auto"/>
        <w:jc w:val="center"/>
      </w:pPr>
      <w:r>
        <w:rPr>
          <w:rFonts w:ascii="Arial" w:hAnsi="Arial"/>
          <w:b/>
          <w:color w:val="102A43"/>
          <w:sz w:val="58"/>
        </w:rPr>
        <w:t>CONCIERGE CONECTATEL</w:t>
      </w:r>
    </w:p>
    <w:p>
      <w:pPr>
        <w:spacing w:after="400" w:line="259" w:lineRule="auto"/>
        <w:jc w:val="center"/>
      </w:pPr>
      <w:r>
        <w:rPr>
          <w:rFonts w:ascii="Arial" w:hAnsi="Arial"/>
          <w:b/>
          <w:color w:val="1F5D8C"/>
          <w:sz w:val="30"/>
        </w:rPr>
        <w:t>Relatório Final do Hackathon | Template colaborativo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6"/>
      </w:tblGrid>
      <w:tr>
        <w:tc>
          <w:tcPr>
            <w:tcW w:type="dxa" w:w="9896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5D8C"/>
                <w:sz w:val="26"/>
              </w:rPr>
              <w:t>A ideia em uma frase</w:t>
            </w:r>
          </w:p>
          <w:p>
            <w:r>
              <w:rPr>
                <w:rFonts w:ascii="Arial" w:hAnsi="Arial"/>
                <w:b w:val="0"/>
                <w:color w:val="243F61"/>
                <w:sz w:val="21"/>
              </w:rPr>
              <w:t>[Descreva o valor do Concierge: respostas fundamentadas no corpus, triagem segura e escalonamento com contexto.]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304"/>
        <w:gridCol w:w="7200"/>
      </w:tblGrid>
      <w:tr>
        <w:tc>
          <w:tcPr>
            <w:tcW w:type="dxa" w:w="4948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48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Preencher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Programa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Fellowship AWS AI Agentic Build | AI/R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Squad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Squad 4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Membros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[Nome 1] • [Nome 2] • [Nome 3] • [Nome 4] • [Nome 5] • [Nome 6]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Entrega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02/09/2026 até 23h59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Repositório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[URL do GitHub]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Versão congelada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[tag v1.0-entrega]</w:t>
            </w:r>
          </w:p>
        </w:tc>
      </w:tr>
    </w:tbl>
    <w:p>
      <w:pPr>
        <w:spacing w:after="40"/>
      </w:pPr>
    </w:p>
    <w:p>
      <w:pPr>
        <w:pStyle w:val="Heading2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Como usar este template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Substitua os textos entre colchetes, preserve os requisitos do desafio e registre em cada decisão o responsável, data, evidência e impacto.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1. Visão executiva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6"/>
      </w:tblGrid>
      <w:tr>
        <w:tc>
          <w:tcPr>
            <w:tcW w:type="dxa" w:w="9896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/>
                <w:b/>
                <w:color w:val="1F5D8C"/>
                <w:sz w:val="26"/>
              </w:rPr>
              <w:t>Resumo para stakeholders</w:t>
            </w:r>
          </w:p>
          <w:p>
            <w:r>
              <w:rPr>
                <w:rFonts w:ascii="Arial" w:hAnsi="Arial"/>
                <w:b w:val="0"/>
                <w:color w:val="243F61"/>
                <w:sz w:val="21"/>
              </w:rPr>
              <w:t>[Problema, solução construída e benefício em até 5 linhas.]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880"/>
        <w:gridCol w:w="6624"/>
      </w:tblGrid>
      <w:tr>
        <w:tc>
          <w:tcPr>
            <w:tcW w:type="dxa" w:w="4948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4948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Resultado a demonstrar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Parte 1 | Dados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[3 análises + achado usado em decisão de design]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Parte 2 | RAG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[chunking, embeddings, índice e filtro vigente antes do score]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Parte 3 | Agente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[fonte, “não sei” e limiar calibrado]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Parte 4 | Triagem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[escalonamento e handoff completo]</w:t>
            </w:r>
          </w:p>
        </w:tc>
      </w:tr>
      <w:tr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Parte 5 | Governança</w:t>
            </w:r>
          </w:p>
        </w:tc>
        <w:tc>
          <w:tcPr>
            <w:tcW w:type="dxa" w:w="4948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[trace_id, fontes, decisão e auditoria ≤60s]</w:t>
            </w:r>
          </w:p>
        </w:tc>
      </w:tr>
      <w:tr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Stretch</w:t>
            </w:r>
          </w:p>
        </w:tc>
        <w:tc>
          <w:tcPr>
            <w:tcW w:type="dxa" w:w="4948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[evolução opcional ou “não realizada”]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2. Organização da squad (Parte 0)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[Líder, seis papéis e pessoa de integração/auditoria. A integração não deve ficar acumulada em uma Parte isolada.]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160"/>
        <w:gridCol w:w="3312"/>
        <w:gridCol w:w="4032"/>
      </w:tblGrid>
      <w:tr>
        <w:tc>
          <w:tcPr>
            <w:tcW w:type="dxa" w:w="329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329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Papel / parte</w:t>
            </w:r>
          </w:p>
        </w:tc>
        <w:tc>
          <w:tcPr>
            <w:tcW w:type="dxa" w:w="329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Entrega e revisão</w:t>
            </w:r>
          </w:p>
        </w:tc>
      </w:tr>
      <w:tr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1]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  <w:tr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2]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  <w:tr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3]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  <w:tr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4]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  <w:tr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5]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  <w:tr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[Membro 6]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[Parte / integração / QA]</w:t>
            </w:r>
          </w:p>
        </w:tc>
        <w:tc>
          <w:tcPr>
            <w:tcW w:type="dxa" w:w="329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[artefato + revisor + status]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3. Arquitetura da solução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[Inserir o JPG do diagrama e/ou o Mermaid editável.]</w:t>
      </w:r>
    </w:p>
    <w:p>
      <w:pPr>
        <w:pStyle w:val="Heading2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Descrição acessível da arquitetura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[CSV → Pandas → S3 → chunking/embeddings → índice → filtro status=vigente → score → Bedrock → resposta com fonte ou “não sei” / escalonamento → audit trail.]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4. Parte 1 | Pipeline de dados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log CSV, limpeza, 3 análises e achado que orienta o design.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5. Parte 2 | Base de conhecimento e RAG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chunking, embeddings, índice e filtro determinístico de vigência.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6. Parte 3 | Agente Concierge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grounding, fonte, limiar e calibração de “não sei”.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7. Parte 4 | Triagem e escalonamento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política, critérios, handoff e teste prático.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8. Parte 5 | Governança e auditoria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trace_id, audit trail, guardrails, riscos e busca ≤60s.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9. Stretch | Evolução opcional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Objetivo: métrica de acerto de versão, interface, custo ou outra.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Decisão e justificativa: [preencher]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Implementação e evidências: [links para código, logs, tabelas ou prints transcritos]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Responsável / revisor / data: [preencher]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10. Testes e QA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[Registrar 10–15 interações textuais: 2 com fonte vigente, 2 sobre revogada, 2 sem fonte e 2 escalonamentos distintos.]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720"/>
        <w:gridCol w:w="1584"/>
        <w:gridCol w:w="2448"/>
        <w:gridCol w:w="1728"/>
        <w:gridCol w:w="2160"/>
        <w:gridCol w:w="864"/>
      </w:tblGrid>
      <w:tr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Pergunta / contexto</w:t>
            </w:r>
          </w:p>
        </w:tc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Observado</w:t>
            </w:r>
          </w:p>
        </w:tc>
        <w:tc>
          <w:tcPr>
            <w:tcW w:type="dxa" w:w="164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trace_id</w:t>
            </w:r>
          </w:p>
        </w:tc>
      </w:tr>
      <w:tr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T01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T02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T03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T04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T05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T06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T07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T08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T09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  <w:tr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T010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[tipo]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[pergunta]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[esperado]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[resultado]</w:t>
            </w:r>
          </w:p>
        </w:tc>
        <w:tc>
          <w:tcPr>
            <w:tcW w:type="dxa" w:w="164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[id]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11. Riscos e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448"/>
        <w:gridCol w:w="1440"/>
        <w:gridCol w:w="2448"/>
        <w:gridCol w:w="2160"/>
        <w:gridCol w:w="1008"/>
      </w:tblGrid>
      <w:tr>
        <w:tc>
          <w:tcPr>
            <w:tcW w:type="dxa" w:w="197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Risco / limite</w:t>
            </w:r>
          </w:p>
        </w:tc>
        <w:tc>
          <w:tcPr>
            <w:tcW w:type="dxa" w:w="197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97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  <w:tc>
          <w:tcPr>
            <w:tcW w:type="dxa" w:w="197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Próximo passo</w:t>
            </w:r>
          </w:p>
        </w:tc>
        <w:tc>
          <w:tcPr>
            <w:tcW w:type="dxa" w:w="1979"/>
            <w:shd w:fill="102A43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Dono</w:t>
            </w:r>
          </w:p>
        </w:tc>
      </w:tr>
      <w:tr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[risco]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[alto/médio/baixo]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[controle]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[ação]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[nome]</w:t>
            </w:r>
          </w:p>
        </w:tc>
      </w:tr>
      <w:tr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[risco]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[alto/médio/baixo]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[controle]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[ação]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[nome]</w:t>
            </w:r>
          </w:p>
        </w:tc>
      </w:tr>
      <w:tr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[risco]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[alto/médio/baixo]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[controle]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[ação]</w:t>
            </w:r>
          </w:p>
        </w:tc>
        <w:tc>
          <w:tcPr>
            <w:tcW w:type="dxa" w:w="1979"/>
            <w:shd w:fill="F4F7FA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[nome]</w:t>
            </w:r>
          </w:p>
        </w:tc>
      </w:tr>
      <w:tr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[risco]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[alto/médio/baixo]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[controle]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[ação]</w:t>
            </w:r>
          </w:p>
        </w:tc>
        <w:tc>
          <w:tcPr>
            <w:tcW w:type="dxa" w:w="1979"/>
            <w:shd w:fill="FFFF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43F61"/>
                <w:sz w:val="18"/>
              </w:rPr>
              <w:t>[nome]</w:t>
            </w:r>
          </w:p>
        </w:tc>
      </w:tr>
    </w:tbl>
    <w:p>
      <w:pPr>
        <w:spacing w:after="40"/>
      </w:pP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12. Reflexão coletiva</w:t>
      </w:r>
    </w:p>
    <w:p>
      <w:pPr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[Em 1–2 páginas: o que fariam diferente, decisão técnica mais difícil e aprendizado decisivo de cada membro.]</w:t>
      </w:r>
    </w:p>
    <w:p>
      <w:pPr>
        <w:pStyle w:val="Heading1"/>
        <w:spacing w:after="120" w:line="259" w:lineRule="auto"/>
      </w:pPr>
      <w:r>
        <w:rPr>
          <w:rFonts w:ascii="Arial" w:hAnsi="Arial"/>
          <w:b w:val="0"/>
          <w:color w:val="243F61"/>
          <w:sz w:val="21"/>
        </w:rPr>
        <w:t>13. Checklist de entrega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Documento com nomes, papéis, arquitetura e descrição acessível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Decisões das Partes 1–5 e Stretch registrada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10–15 transcrições cobrindo casos obrigatórios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README executado do zero por membro diferente do autor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Código, slides, vídeo plano B e tag v1.0-entrega</w:t>
      </w:r>
    </w:p>
    <w:p>
      <w:pPr>
        <w:spacing w:after="40" w:line="259" w:lineRule="auto"/>
      </w:pPr>
      <w:r>
        <w:rPr>
          <w:rFonts w:ascii="Arial" w:hAnsi="Arial"/>
          <w:b w:val="0"/>
          <w:color w:val="243F61"/>
          <w:sz w:val="21"/>
        </w:rPr>
        <w:t>[ ] Reflexão coletiva e controle de custos revisados</w:t>
      </w:r>
    </w:p>
    <w:sectPr>
      <w:headerReference r:id="rId47" w:type="default"/>
      <w:footerReference r:id="rId48" w:type="default"/>
      <w:pgSz w:h="16838" w:w="11906" w:orient="portrait"/>
      <w:pgMar w:bottom="1049" w:top="964" w:left="990" w:right="1020" w:header="312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8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9864.0" w:type="dxa"/>
      <w:jc w:val="center"/>
      <w:tblLayout w:type="fixed"/>
      <w:tblLook w:val="0400"/>
    </w:tblPr>
    <w:tblGrid>
      <w:gridCol w:w="3288"/>
      <w:gridCol w:w="3288"/>
      <w:gridCol w:w="3288"/>
      <w:tblGridChange w:id="0">
        <w:tblGrid>
          <w:gridCol w:w="3288"/>
          <w:gridCol w:w="3288"/>
          <w:gridCol w:w="3288"/>
        </w:tblGrid>
      </w:tblGridChange>
    </w:tblGrid>
    <w:tr>
      <w:trPr>
        <w:cantSplit w:val="0"/>
        <w:tblHeader w:val="0"/>
      </w:trPr>
      <w:tc>
        <w:tcPr>
          <w:tcBorders>
            <w:top w:color="d0d5dd" w:space="0" w:sz="6" w:val="single"/>
          </w:tcBorders>
        </w:tcPr>
        <w:p w:rsidR="00000000" w:rsidDel="00000000" w:rsidP="00000000" w:rsidRDefault="00000000" w:rsidRPr="00000000" w14:paraId="000002DA">
          <w:pPr>
            <w:spacing w:after="0" w:line="240" w:lineRule="auto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667085"/>
              <w:sz w:val="13"/>
              <w:szCs w:val="13"/>
              <w:rtl w:val="0"/>
            </w:rPr>
            <w:t xml:space="preserve">Squad 4 — Cleidyanne Castro Pereira • João Vitor Althaus Godoi • Kaique Silva Sousa</w:t>
            <w:br w:type="textWrapping"/>
            <w:t xml:space="preserve">Natan Alencar Maia • Bruno Jordão das Neves Moura • José Ivanildo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0d5dd" w:space="0" w:sz="6" w:val="single"/>
          </w:tcBorders>
        </w:tcPr>
        <w:p w:rsidR="00000000" w:rsidDel="00000000" w:rsidP="00000000" w:rsidRDefault="00000000" w:rsidRPr="00000000" w14:paraId="000002DB">
          <w:pPr>
            <w:jc w:val="center"/>
            <w:rPr/>
          </w:pPr>
          <w:hyperlink r:id="rId1">
            <w:r w:rsidDel="00000000" w:rsidR="00000000" w:rsidRPr="00000000">
              <w:rPr>
                <w:color w:val="5b3fd6"/>
                <w:sz w:val="14"/>
                <w:szCs w:val="14"/>
                <w:u w:val="single"/>
                <w:rtl w:val="0"/>
              </w:rPr>
              <w:t xml:space="preserve">GitHub — repositório do projeto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0d5dd" w:space="0" w:sz="6" w:val="single"/>
          </w:tcBorders>
        </w:tcPr>
        <w:p w:rsidR="00000000" w:rsidDel="00000000" w:rsidP="00000000" w:rsidRDefault="00000000" w:rsidRPr="00000000" w14:paraId="000002DC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66708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8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9864.0" w:type="dxa"/>
      <w:jc w:val="center"/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tcBorders>
            <w:bottom w:color="5b3fd6" w:space="0" w:sz="8" w:val="single"/>
          </w:tcBorders>
          <w:vAlign w:val="center"/>
        </w:tcPr>
        <w:p w:rsidR="00000000" w:rsidDel="00000000" w:rsidP="00000000" w:rsidRDefault="00000000" w:rsidRPr="00000000" w14:paraId="000002D6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270000" cy="270000"/>
                <wp:effectExtent b="0" l="0" r="0" t="0"/>
                <wp:docPr descr="Quadrado preto com a marca AI/R Company em branco." id="4" name="image10.png"/>
                <a:graphic>
                  <a:graphicData uri="http://schemas.openxmlformats.org/drawingml/2006/picture">
                    <pic:pic>
                      <pic:nvPicPr>
                        <pic:cNvPr descr="Quadrado preto com a marca AI/R Company em branco." id="0" name="image1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" cy="27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5b3fd6" w:space="0" w:sz="8" w:val="single"/>
          </w:tcBorders>
          <w:vAlign w:val="center"/>
        </w:tcPr>
        <w:p w:rsidR="00000000" w:rsidDel="00000000" w:rsidP="00000000" w:rsidRDefault="00000000" w:rsidRPr="00000000" w14:paraId="000002D7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4213d"/>
              <w:sz w:val="16"/>
              <w:szCs w:val="16"/>
              <w:rtl w:val="0"/>
            </w:rPr>
            <w:t xml:space="preserve">CONCIERGE CONECTATEL  |  RELATÓRIO FINAL </w:t>
          </w:r>
          <w:r w:rsidDel="00000000" w:rsidR="00000000" w:rsidRPr="00000000">
            <w:rPr>
              <w:b w:val="1"/>
              <w:bCs w:val="1"/>
              <w:color w:val="14213d"/>
              <w:sz w:val="16"/>
              <w:szCs w:val="16"/>
              <w:rtl w:val="0"/>
            </w:rPr>
            <w:t xml:space="preserve">-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4213d"/>
              <w:sz w:val="16"/>
              <w:szCs w:val="16"/>
              <w:rtl w:val="0"/>
            </w:rPr>
            <w:t xml:space="preserve"> SPRINT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827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243F61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102A4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Arial" w:cs="Arial" w:eastAsia="Arial" w:hAnsi="Arial"/>
      <w:b w:val="1"/>
      <w:bCs w:val="1"/>
      <w:color w:val="1F5D8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007F7B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sy0UdhCwRHp4VQIJQN3__M47IqrEk5cQm4k_vda0gn0/edit?usp=sharing" TargetMode="External"/><Relationship Id="rId20" Type="http://schemas.openxmlformats.org/officeDocument/2006/relationships/image" Target="media/image31.png"/><Relationship Id="rId42" Type="http://schemas.openxmlformats.org/officeDocument/2006/relationships/hyperlink" Target="https://github.com/cleidyanne-castro/aws-digital-bank-triage-assistant" TargetMode="External"/><Relationship Id="rId41" Type="http://schemas.openxmlformats.org/officeDocument/2006/relationships/hyperlink" Target="https://drive.google.com/file/d/11kLEbBl96-7rDlcv3ER6dMMbA5Pd-k1-/view?usp=sharing" TargetMode="External"/><Relationship Id="rId22" Type="http://schemas.openxmlformats.org/officeDocument/2006/relationships/image" Target="media/image23.png"/><Relationship Id="rId44" Type="http://schemas.openxmlformats.org/officeDocument/2006/relationships/hyperlink" Target="https://www.bcb.gov.br/content/estabilidadefinanceira/pix/Regulamento_Pix/III_ManualdeFluxosdoProcessodeEfetivacaodoPix.pdf" TargetMode="External"/><Relationship Id="rId21" Type="http://schemas.openxmlformats.org/officeDocument/2006/relationships/image" Target="media/image17.png"/><Relationship Id="rId43" Type="http://schemas.openxmlformats.org/officeDocument/2006/relationships/hyperlink" Target="https://www.bcb.gov.br/content/estabilidadefinanceira/pix/Regulamento_Pix/IX_ManualdeTemposdoPix.pdf" TargetMode="External"/><Relationship Id="rId24" Type="http://schemas.openxmlformats.org/officeDocument/2006/relationships/image" Target="media/image26.png"/><Relationship Id="rId46" Type="http://schemas.openxmlformats.org/officeDocument/2006/relationships/hyperlink" Target="https://www.bcb.gov.br/content/estabilidadefinanceira/pix/Regulamento_Pix/XI_Manual_de_resolucao_de_disputa.pdf" TargetMode="External"/><Relationship Id="rId23" Type="http://schemas.openxmlformats.org/officeDocument/2006/relationships/image" Target="media/image20.png"/><Relationship Id="rId45" Type="http://schemas.openxmlformats.org/officeDocument/2006/relationships/hyperlink" Target="https://www.bcb.gov.br/content/estabilidadefinanceira/pix/Regulamento_Pix/IV_RequisitosMinimosparaExperienciadoUsuario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48" Type="http://schemas.openxmlformats.org/officeDocument/2006/relationships/footer" Target="footer1.xml"/><Relationship Id="rId25" Type="http://schemas.openxmlformats.org/officeDocument/2006/relationships/image" Target="media/image29.png"/><Relationship Id="rId47" Type="http://schemas.openxmlformats.org/officeDocument/2006/relationships/header" Target="header1.xml"/><Relationship Id="rId28" Type="http://schemas.openxmlformats.org/officeDocument/2006/relationships/image" Target="media/image1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2.png"/><Relationship Id="rId7" Type="http://schemas.openxmlformats.org/officeDocument/2006/relationships/hyperlink" Target="https://github.com/cleidyanne-castro/aws-digital-bank-triage-assistant" TargetMode="External"/><Relationship Id="rId8" Type="http://schemas.openxmlformats.org/officeDocument/2006/relationships/image" Target="media/image16.png"/><Relationship Id="rId31" Type="http://schemas.openxmlformats.org/officeDocument/2006/relationships/image" Target="media/image3.png"/><Relationship Id="rId30" Type="http://schemas.openxmlformats.org/officeDocument/2006/relationships/image" Target="media/image11.png"/><Relationship Id="rId11" Type="http://schemas.openxmlformats.org/officeDocument/2006/relationships/image" Target="media/image2.jpg"/><Relationship Id="rId33" Type="http://schemas.openxmlformats.org/officeDocument/2006/relationships/image" Target="media/image5.png"/><Relationship Id="rId10" Type="http://schemas.openxmlformats.org/officeDocument/2006/relationships/image" Target="media/image8.jpg"/><Relationship Id="rId32" Type="http://schemas.openxmlformats.org/officeDocument/2006/relationships/image" Target="media/image30.png"/><Relationship Id="rId13" Type="http://schemas.openxmlformats.org/officeDocument/2006/relationships/image" Target="media/image15.png"/><Relationship Id="rId35" Type="http://schemas.openxmlformats.org/officeDocument/2006/relationships/image" Target="media/image27.png"/><Relationship Id="rId12" Type="http://schemas.openxmlformats.org/officeDocument/2006/relationships/image" Target="media/image9.png"/><Relationship Id="rId34" Type="http://schemas.openxmlformats.org/officeDocument/2006/relationships/image" Target="media/image21.png"/><Relationship Id="rId15" Type="http://schemas.openxmlformats.org/officeDocument/2006/relationships/image" Target="media/image6.png"/><Relationship Id="rId37" Type="http://schemas.openxmlformats.org/officeDocument/2006/relationships/image" Target="media/image14.png"/><Relationship Id="rId14" Type="http://schemas.openxmlformats.org/officeDocument/2006/relationships/image" Target="media/image24.png"/><Relationship Id="rId36" Type="http://schemas.openxmlformats.org/officeDocument/2006/relationships/image" Target="media/image28.png"/><Relationship Id="rId17" Type="http://schemas.openxmlformats.org/officeDocument/2006/relationships/image" Target="media/image4.png"/><Relationship Id="rId39" Type="http://schemas.openxmlformats.org/officeDocument/2006/relationships/hyperlink" Target="https://drive.google.com/drive/folders/1blnLlaGD6gYzElJGDBGMIW7qxawnysDy?usp=sharing" TargetMode="External"/><Relationship Id="rId16" Type="http://schemas.openxmlformats.org/officeDocument/2006/relationships/image" Target="media/image18.png"/><Relationship Id="rId38" Type="http://schemas.openxmlformats.org/officeDocument/2006/relationships/image" Target="media/image7.png"/><Relationship Id="rId19" Type="http://schemas.openxmlformats.org/officeDocument/2006/relationships/image" Target="media/image19.png"/><Relationship Id="rId18" Type="http://schemas.openxmlformats.org/officeDocument/2006/relationships/image" Target="media/image2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cleidyanne-castro/aws-digital-bank-triage-assistan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