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  <w:jc w:val="center"/>
      </w:pPr>
      <w:r>
        <w:rPr>
          <w:b/>
          <w:bCs/>
          <w:color w:val="C55A11"/>
          <w:sz w:val="44"/>
          <w:szCs w:val="44"/>
        </w:rPr>
        <w:t xml:space="preserve">TRABALHO DE CONCLUSÃO DE CURSO</w:t>
      </w:r>
    </w:p>
    <w:p>
      <w:pPr>
        <w:spacing w:after="400"/>
        <w:jc w:val="center"/>
      </w:pPr>
      <w:r>
        <w:rPr>
          <w:color w:val="333333"/>
          <w:sz w:val="28"/>
          <w:szCs w:val="28"/>
        </w:rPr>
        <w:t xml:space="preserve">Harbour / ADVPL — Do Zero ao Protheus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Controle de Não Conformidades de Fornecedores (ISO 9001)</w:t>
      </w:r>
    </w:p>
    <w:p>
      <w:pPr>
        <w:spacing w:after="1200"/>
        <w:jc w:val="center"/>
      </w:pPr>
      <w:r>
        <w:rPr>
          <w:i/>
          <w:iCs/>
          <w:color w:val="666666"/>
          <w:sz w:val="22"/>
          <w:szCs w:val="22"/>
        </w:rPr>
        <w:t xml:space="preserve">Módulo Compras (SIGACOM) — Protheus 8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Autor: Cleiton</w:t>
      </w:r>
    </w:p>
    <w:p>
      <w:pPr>
        <w:jc w:val="center"/>
      </w:pPr>
      <w:r>
        <w:rPr>
          <w:color w:val="666666"/>
          <w:sz w:val="22"/>
          <w:szCs w:val="22"/>
        </w:rPr>
        <w:t xml:space="preserve">Agosto / 2026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C55A11"/>
          <w:sz w:val="30"/>
          <w:szCs w:val="30"/>
        </w:rPr>
        <w:t xml:space="preserve">1. Descrição do Sistema</w:t>
      </w:r>
    </w:p>
    <w:p>
      <w:pPr>
        <w:spacing w:after="120"/>
      </w:pPr>
      <w:r>
        <w:rPr>
          <w:sz w:val="22"/>
          <w:szCs w:val="22"/>
        </w:rPr>
        <w:t xml:space="preserve">A Indústria XYZ precisa monitorar as não conformidades na entrada de materiais dos seus fornecedores para se manter em conformidade com a certificação ISO 9001. Este sistema resolve isso com duas tabelas novas no módulo de Compras: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ZZ1 — Controle de Fornecimento: guarda o certificado de qualidade de cada fornecedor (validade e tolerância aceita de não conformidade).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ZZ2 — Ocorrências do Fornecedor: registra cada entrega/ocorrência, com a quantidade conforme e não conforme por produto.</w:t>
      </w:r>
    </w:p>
    <w:p>
      <w:pPr>
        <w:spacing w:after="120"/>
      </w:pPr>
      <w:r>
        <w:rPr>
          <w:sz w:val="22"/>
          <w:szCs w:val="22"/>
        </w:rPr>
        <w:t xml:space="preserve">O sistema exibe, por meio de legendas coloridas, quais certificados estão vencidos ou perto de vencer e quais entregas passaram da tolerância do certificado. Todo o projeto foi desenvolvido em ADVPL clássico, compatível com o Protheus 8 (sem MVC e sem TLPP).</w:t>
      </w:r>
    </w:p>
    <w:p>
      <w:pPr>
        <w:pStyle w:val="Heading1"/>
        <w:spacing w:after="140" w:before="320"/>
      </w:pPr>
      <w:r>
        <w:rPr>
          <w:b/>
          <w:bCs/>
          <w:color w:val="C55A11"/>
          <w:sz w:val="30"/>
          <w:szCs w:val="30"/>
        </w:rPr>
        <w:t xml:space="preserve">2. Layout das Tabelas</w:t>
      </w:r>
    </w:p>
    <w:p>
      <w:pPr>
        <w:pStyle w:val="Heading2"/>
        <w:spacing w:after="100" w:before="240"/>
      </w:pPr>
      <w:r>
        <w:rPr>
          <w:b/>
          <w:bCs/>
          <w:color w:val="333333"/>
          <w:sz w:val="26"/>
          <w:szCs w:val="26"/>
        </w:rPr>
        <w:t xml:space="preserve">2.1 ZZ1 — Controle de Fornecimento (Compartilhada)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900"/>
        <w:gridCol w:w="900"/>
        <w:gridCol w:w="900"/>
        <w:gridCol w:w="1800"/>
      </w:tblGrid>
      <w:tr>
        <w:trPr>
          <w:tblHeader/>
        </w:trPr>
        <w:tc>
          <w:tcPr>
            <w:tcW w:type="dxa" w:w="24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21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9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9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</w:t>
            </w:r>
          </w:p>
        </w:tc>
        <w:tc>
          <w:tcPr>
            <w:tcW w:type="dxa" w:w="9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</w:t>
            </w:r>
          </w:p>
        </w:tc>
        <w:tc>
          <w:tcPr>
            <w:tcW w:type="dxa" w:w="18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Filial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ZZ1_FILIAL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Código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ZZ1_CODIGO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Cód. Fornecedor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ZZ1_FORNEC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Loja Fornecedor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ZZ1_LOJAFO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Nome Fornecedor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ZZ1_NOMEFO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Virtual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Dados Certificado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ZZ1_CERTIF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256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Val. Certificado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ZZ1_VALCER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Tolerância (%)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ZZ1_TOLERA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Qtd. Conforme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ZZ1_TOTOK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Qtd. Não Conforme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ZZ1_TOTNOK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Índices (SIX):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 — ZZ1_FILIAL + ZZ1_CODIGO (chave primária)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 — ZZ1_FILIAL + ZZ1_FORNEC + ZZ1_LOJAFO (por fornecedor)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 — ZZ1_FILIAL + DTOS(ZZ1_VALCER) (por validade do certificado)</w:t>
      </w:r>
    </w:p>
    <w:p>
      <w:pPr>
        <w:spacing w:after="80"/>
      </w:pPr>
    </w:p>
    <w:p>
      <w:pPr>
        <w:pBdr>
          <w:top w:val="single" w:color="BBBBBB" w:sz="4"/>
          <w:bottom w:val="single" w:color="BBBBBB" w:sz="4"/>
          <w:left w:val="single" w:color="BBBBBB" w:sz="4"/>
          <w:right w:val="single" w:color="BBBBBB" w:sz="4"/>
        </w:pBdr>
        <w:spacing w:after="20" w:before="80"/>
        <w:jc w:val="center"/>
      </w:pPr>
      <w:r>
        <w:drawing>
          <wp:inline distT="0" distB="0" distL="0" distR="0">
            <wp:extent cx="53340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Configurador — campos da tabela ZZ1</w:t>
      </w:r>
    </w:p>
    <w:p>
      <w:pPr>
        <w:pStyle w:val="Heading2"/>
        <w:spacing w:after="100" w:before="240"/>
      </w:pPr>
      <w:r>
        <w:rPr>
          <w:b/>
          <w:bCs/>
          <w:color w:val="333333"/>
          <w:sz w:val="26"/>
          <w:szCs w:val="26"/>
        </w:rPr>
        <w:t xml:space="preserve">2.2 ZZ2 — Ocorrências do Fornecedor (Compartilhada)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900"/>
        <w:gridCol w:w="900"/>
        <w:gridCol w:w="900"/>
        <w:gridCol w:w="1800"/>
      </w:tblGrid>
      <w:tr>
        <w:trPr>
          <w:tblHeader/>
        </w:trPr>
        <w:tc>
          <w:tcPr>
            <w:tcW w:type="dxa" w:w="24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21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9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9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</w:t>
            </w:r>
          </w:p>
        </w:tc>
        <w:tc>
          <w:tcPr>
            <w:tcW w:type="dxa" w:w="9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</w:t>
            </w:r>
          </w:p>
        </w:tc>
        <w:tc>
          <w:tcPr>
            <w:tcW w:type="dxa" w:w="18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Filial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ZZ2_FILIAL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Controle (→ZZ1)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ZZ2_CONFOR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Cód. Fornecedor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ZZ2_FORNEC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Loja Fornecedor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ZZ2_LOJAFO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Nome Fornecedor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ZZ2_NOMEFO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Virtual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Data Ocorrência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ZZ2_DATA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Hora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ZZ2_HORA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Produto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ZZ2_CODPRO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Qtde. Conforme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ZZ2_QTDOK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Qtde. Não Conforme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ZZ2_QTDNOK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Valor Unitário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ZZ2_VLRUNI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R$ Conforme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ZZ2_TOTOK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Virtual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R$ Não Conforme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ZZ2_TOTNOK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Virtual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Índices (SIX):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 — ZZ2_FILIAL + ZZ2_CONFOR + DTOS(ZZ2_DATA) + ZZ2_HORA (chave primária)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 — ZZ2_FILIAL + ZZ2_FORNEC + ZZ2_LOJAFO + DTOS(ZZ2_DATA) (por fornecedor e data)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 — ZZ2_FILIAL + DTOS(ZZ2_DATA) (por data)</w:t>
      </w:r>
    </w:p>
    <w:p>
      <w:pPr>
        <w:spacing w:after="80"/>
      </w:pPr>
    </w:p>
    <w:p>
      <w:pPr>
        <w:pBdr>
          <w:top w:val="single" w:color="BBBBBB" w:sz="4"/>
          <w:bottom w:val="single" w:color="BBBBBB" w:sz="4"/>
          <w:left w:val="single" w:color="BBBBBB" w:sz="4"/>
          <w:right w:val="single" w:color="BBBBBB" w:sz="4"/>
        </w:pBdr>
        <w:spacing w:after="20" w:before="80"/>
        <w:jc w:val="center"/>
      </w:pPr>
      <w:r>
        <w:drawing>
          <wp:inline distT="0" distB="0" distL="0" distR="0">
            <wp:extent cx="53340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Configurador — campos da tabela ZZ2</w:t>
      </w:r>
    </w:p>
    <w:p>
      <w:pPr>
        <w:pStyle w:val="Heading1"/>
        <w:spacing w:after="140" w:before="320"/>
      </w:pPr>
      <w:r>
        <w:rPr>
          <w:b/>
          <w:bCs/>
          <w:color w:val="C55A11"/>
          <w:sz w:val="30"/>
          <w:szCs w:val="30"/>
        </w:rPr>
        <w:t xml:space="preserve">3. Campos Virtuais</w:t>
      </w:r>
    </w:p>
    <w:p>
      <w:pPr>
        <w:spacing w:after="120"/>
      </w:pPr>
      <w:r>
        <w:rPr>
          <w:sz w:val="22"/>
          <w:szCs w:val="22"/>
        </w:rPr>
        <w:t xml:space="preserve">Campos virtuais não são gravados no banco: são calculados na hora de exibir o registro.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ZZ1_NOMEFO / ZZ2_NOMEFO — buscam o nome do fornecedor na SA2:</w:t>
      </w:r>
    </w:p>
    <w:p>
      <w:pPr>
        <w:pBdr>
          <w:top w:val="single" w:color="1F1F1F" w:sz="2"/>
          <w:bottom w:val="single" w:color="1F1F1F" w:sz="2"/>
          <w:left w:val="single" w:color="C55A11" w:sz="12"/>
          <w:right w:val="single" w:color="1F1F1F" w:sz="2"/>
        </w:pBdr>
        <w:shd w:fill="1F1F1F" w:val="clear"/>
        <w:spacing w:after="120" w:before="8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POSICIONE("SA2", 1, xFilial("SA2") + &lt;FORNEC&gt; + &lt;LOJAFO&gt;, "A2_NOME")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ZZ2_TOTOK / ZZ2_TOTNOK — calculam o valor em R$:</w:t>
      </w:r>
    </w:p>
    <w:p>
      <w:pPr>
        <w:pBdr>
          <w:top w:val="single" w:color="1F1F1F" w:sz="2"/>
          <w:bottom w:val="single" w:color="1F1F1F" w:sz="2"/>
          <w:left w:val="single" w:color="C55A11" w:sz="12"/>
          <w:right w:val="single" w:color="1F1F1F" w:sz="2"/>
        </w:pBdr>
        <w:shd w:fill="1F1F1F" w:val="clear"/>
        <w:spacing w:after="120" w:before="8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ZZ2_TOTOK  = M-&gt;ZZ2_QTDOK  * M-&gt;ZZ2_VLRUNI</w:t>
      </w:r>
      <w:r>
        <w:br/>
      </w:r>
      <w:r>
        <w:rPr>
          <w:rFonts w:ascii="Consolas" w:cs="Consolas" w:eastAsia="Consolas" w:hAnsi="Consolas"/>
          <w:color w:val="E6E6E6"/>
          <w:sz w:val="18"/>
          <w:szCs w:val="18"/>
        </w:rPr>
        <w:t xml:space="preserve">ZZ2_TOTNOK = M-&gt;ZZ2_QTDNOK * M-&gt;ZZ2_VLRUNI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Observação: para os campos numéricos aceitarem vários dígitos, foi preenchido o Formato (X3_PICTURE) @E 999,999,999.99.</w:t>
      </w:r>
    </w:p>
    <w:p>
      <w:pPr>
        <w:pStyle w:val="Heading1"/>
        <w:spacing w:after="140" w:before="320"/>
      </w:pPr>
      <w:r>
        <w:rPr>
          <w:b/>
          <w:bCs/>
          <w:color w:val="C55A11"/>
          <w:sz w:val="30"/>
          <w:szCs w:val="30"/>
        </w:rPr>
        <w:t xml:space="preserve">4. Gatilhos Configurados (SX7)</w:t>
      </w:r>
    </w:p>
    <w:p>
      <w:pPr>
        <w:spacing w:after="120"/>
      </w:pPr>
      <w:r>
        <w:rPr>
          <w:sz w:val="22"/>
          <w:szCs w:val="22"/>
        </w:rPr>
        <w:t xml:space="preserve">Gatilho é uma regra que, ao preencher um campo, preenche automaticamente outro.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Origem</w:t>
            </w:r>
          </w:p>
        </w:tc>
        <w:tc>
          <w:tcPr>
            <w:tcW w:type="dxa" w:w="24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Destino</w:t>
            </w:r>
          </w:p>
        </w:tc>
        <w:tc>
          <w:tcPr>
            <w:tcW w:type="dxa" w:w="42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ZZ1_FORNEC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ZZ1_NOMEFO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Traz o nome do fornecedor (SA2)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ZZ2_CONFOR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ZZ2_FORNEC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Traz o fornecedor do certificado (ZZ1)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ZZ2_CONFOR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ZZ2_LOJAFO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Traz a loja do certificado (ZZ1)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ZZ2_CONFOR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ZZ2_NOMEFO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Traz o nome do fornecedor (SA2)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A data e a hora da ocorrência são preenchidas por inicializador padrão (não por gatilho), porque um gatilho no próprio campo sobrescreveria o valor digitado pelo usuário:</w:t>
      </w:r>
    </w:p>
    <w:p>
      <w:pPr>
        <w:pBdr>
          <w:top w:val="single" w:color="1F1F1F" w:sz="2"/>
          <w:bottom w:val="single" w:color="1F1F1F" w:sz="2"/>
          <w:left w:val="single" w:color="C55A11" w:sz="12"/>
          <w:right w:val="single" w:color="1F1F1F" w:sz="2"/>
        </w:pBdr>
        <w:shd w:fill="1F1F1F" w:val="clear"/>
        <w:spacing w:after="120" w:before="8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ZZ2_DATA -&gt; Inic. Padrão: IF(INCLUI, dDataBase, M-&gt;ZZ2_DATA)</w:t>
      </w:r>
      <w:r>
        <w:br/>
      </w:r>
      <w:r>
        <w:rPr>
          <w:rFonts w:ascii="Consolas" w:cs="Consolas" w:eastAsia="Consolas" w:hAnsi="Consolas"/>
          <w:color w:val="E6E6E6"/>
          <w:sz w:val="18"/>
          <w:szCs w:val="18"/>
        </w:rPr>
        <w:t xml:space="preserve">ZZ2_HORA -&gt; Inic. Padrão: IF(INCLUI, Time(), M-&gt;ZZ2_HORA)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Gatilhos cadastrados no Configurador:</w:t>
      </w:r>
    </w:p>
    <w:p>
      <w:pPr>
        <w:pBdr>
          <w:top w:val="single" w:color="BBBBBB" w:sz="4"/>
          <w:bottom w:val="single" w:color="BBBBBB" w:sz="4"/>
          <w:left w:val="single" w:color="BBBBBB" w:sz="4"/>
          <w:right w:val="single" w:color="BBBBBB" w:sz="4"/>
        </w:pBdr>
        <w:spacing w:after="20" w:before="80"/>
        <w:jc w:val="center"/>
      </w:pPr>
      <w:r>
        <w:drawing>
          <wp:inline distT="0" distB="0" distL="0" distR="0">
            <wp:extent cx="4953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Gatilho ZZ1_FORNEC → ZZ1_NOMEFO</w:t>
      </w:r>
    </w:p>
    <w:p>
      <w:pPr>
        <w:pBdr>
          <w:top w:val="single" w:color="BBBBBB" w:sz="4"/>
          <w:bottom w:val="single" w:color="BBBBBB" w:sz="4"/>
          <w:left w:val="single" w:color="BBBBBB" w:sz="4"/>
          <w:right w:val="single" w:color="BBBBBB" w:sz="4"/>
        </w:pBdr>
        <w:spacing w:after="20" w:before="8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Gatilho ZZ2_CONFOR → ZZ2_FORNEC (seq 001)</w:t>
      </w:r>
    </w:p>
    <w:p>
      <w:pPr>
        <w:pBdr>
          <w:top w:val="single" w:color="BBBBBB" w:sz="4"/>
          <w:bottom w:val="single" w:color="BBBBBB" w:sz="4"/>
          <w:left w:val="single" w:color="BBBBBB" w:sz="4"/>
          <w:right w:val="single" w:color="BBBBBB" w:sz="4"/>
        </w:pBdr>
        <w:spacing w:after="20" w:before="80"/>
        <w:jc w:val="center"/>
      </w:pPr>
      <w:r>
        <w:drawing>
          <wp:inline distT="0" distB="0" distL="0" distR="0">
            <wp:extent cx="4953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Gatilho ZZ2_CONFOR → ZZ2_LOJAFO (seq 002)</w:t>
      </w:r>
    </w:p>
    <w:p>
      <w:pPr>
        <w:pBdr>
          <w:top w:val="single" w:color="BBBBBB" w:sz="4"/>
          <w:bottom w:val="single" w:color="BBBBBB" w:sz="4"/>
          <w:left w:val="single" w:color="BBBBBB" w:sz="4"/>
          <w:right w:val="single" w:color="BBBBBB" w:sz="4"/>
        </w:pBdr>
        <w:spacing w:after="20" w:before="80"/>
        <w:jc w:val="center"/>
      </w:pPr>
      <w:r>
        <w:drawing>
          <wp:inline distT="0" distB="0" distL="0" distR="0">
            <wp:extent cx="4953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Gatilho ZZ2_CONFOR → ZZ2_NOMEFO (seq 003)</w:t>
      </w:r>
    </w:p>
    <w:p>
      <w:pPr>
        <w:pStyle w:val="Heading1"/>
        <w:spacing w:after="140" w:before="320"/>
      </w:pPr>
      <w:r>
        <w:rPr>
          <w:b/>
          <w:bCs/>
          <w:color w:val="C55A11"/>
          <w:sz w:val="30"/>
          <w:szCs w:val="30"/>
        </w:rPr>
        <w:t xml:space="preserve">5. Validações</w:t>
      </w:r>
    </w:p>
    <w:p>
      <w:pPr>
        <w:spacing w:after="120"/>
      </w:pPr>
      <w:r>
        <w:rPr>
          <w:sz w:val="22"/>
          <w:szCs w:val="22"/>
        </w:rPr>
        <w:t xml:space="preserve">Cada validação bloqueia o campo quando o valor é inválido e exibe uma mensagem amigável. As validações simples (faixa/data) usam iif(condição, .T., (MsgAlert(msg), .F.)) direto no dicionário; as checagens de existência (fornecedor, certificado, produto) foram movidas para funções na STTZZLIB (U_VldFor, U_VldCer, U_VldPro), pois excederiam o limite de 128 caracteres do X3_VLDUSER. As checagens de existência usam POSICIONE (o ExistCpo apresentou comportamento inconsistente nesta build do Protheus 8).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de validação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ZZ1_LOJAFO</w:t>
            </w:r>
          </w:p>
        </w:tc>
        <w:tc>
          <w:tcPr>
            <w:tcW w:type="dxa" w:w="6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 par Fornecedor+Loja deve existir na SA2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ZZ1_VALCER</w:t>
            </w:r>
          </w:p>
        </w:tc>
        <w:tc>
          <w:tcPr>
            <w:tcW w:type="dxa" w:w="6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Não pode ser anterior à data atual na inclusão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ZZ1_TOLERA</w:t>
            </w:r>
          </w:p>
        </w:tc>
        <w:tc>
          <w:tcPr>
            <w:tcW w:type="dxa" w:w="6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Deve estar entre 0 e 100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ZZ2_CONFOR</w:t>
            </w:r>
          </w:p>
        </w:tc>
        <w:tc>
          <w:tcPr>
            <w:tcW w:type="dxa" w:w="6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 certificado deve existir na ZZ1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ZZ2_CODPRO</w:t>
            </w:r>
          </w:p>
        </w:tc>
        <w:tc>
          <w:tcPr>
            <w:tcW w:type="dxa" w:w="6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 produto deve existir na SB1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ZZ2_DATA</w:t>
            </w:r>
          </w:p>
        </w:tc>
        <w:tc>
          <w:tcPr>
            <w:tcW w:type="dxa" w:w="6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Não pode ser data futura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C55A11"/>
          <w:sz w:val="30"/>
          <w:szCs w:val="30"/>
        </w:rPr>
        <w:t xml:space="preserve">6. Descrição das Rotinas</w:t>
      </w:r>
    </w:p>
    <w:p>
      <w:pPr>
        <w:pStyle w:val="Heading2"/>
        <w:spacing w:after="100" w:before="240"/>
      </w:pPr>
      <w:r>
        <w:rPr>
          <w:b/>
          <w:bCs/>
          <w:color w:val="333333"/>
          <w:sz w:val="26"/>
          <w:szCs w:val="26"/>
        </w:rPr>
        <w:t xml:space="preserve">6.1 STTZZ1.PRW — mBrowse da ZZ1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Browse com legenda por validade: Vermelho = vencido; Amarelo = vence em 30 dias; Verde = ok.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Botão "Ocorrências" que abre a ZZ2 filtrada pelo certificado selecionado.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Exclusão com integridade: impede excluir uma ZZ1 que tenha ocorrências (ZZ2) vinculadas; gravação protegida por BEGIN SEQUENCE.</w:t>
      </w:r>
    </w:p>
    <w:p>
      <w:pPr>
        <w:pStyle w:val="Heading2"/>
        <w:spacing w:after="100" w:before="240"/>
      </w:pPr>
      <w:r>
        <w:rPr>
          <w:b/>
          <w:bCs/>
          <w:color w:val="333333"/>
          <w:sz w:val="26"/>
          <w:szCs w:val="26"/>
        </w:rPr>
        <w:t xml:space="preserve">6.2 STTZZ2.PRW — mBrowse da ZZ2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U_STTZZ2() — browse completo, com legenda por tolerância (Vermelho = % não conforme acima da tolerância; Verde = dentro).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U_STTZ2F(cCodZZ1) — versão filtrada, chamada pelo botão "Ocorrências" da ZZ1.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Fórmula do % não conforme: (ZZ2_QTDNOK / (ZZ2_QTDOK + ZZ2_QTDNOK)) * 100.</w:t>
      </w:r>
    </w:p>
    <w:p>
      <w:pPr>
        <w:pStyle w:val="Heading2"/>
        <w:spacing w:after="100" w:before="240"/>
      </w:pPr>
      <w:r>
        <w:rPr>
          <w:b/>
          <w:bCs/>
          <w:color w:val="333333"/>
          <w:sz w:val="26"/>
          <w:szCs w:val="26"/>
        </w:rPr>
        <w:t xml:space="preserve">6.3 STTZZLIB.PRW — Biblioteca de funções comuns</w:t>
      </w:r>
    </w:p>
    <w:p>
      <w:pPr>
        <w:spacing w:after="120"/>
      </w:pPr>
      <w:r>
        <w:rPr>
          <w:sz w:val="22"/>
          <w:szCs w:val="22"/>
        </w:rPr>
        <w:t xml:space="preserve">Como o ADVPL limita o nome de User Functions a 10 caracteres, os nomes do enunciado foram encurtados: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4700"/>
      </w:tblGrid>
      <w:tr>
        <w:trPr>
          <w:tblHeader/>
        </w:trPr>
        <w:tc>
          <w:tcPr>
            <w:tcW w:type="dxa" w:w="22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Enunciado</w:t>
            </w:r>
          </w:p>
        </w:tc>
        <w:tc>
          <w:tcPr>
            <w:tcW w:type="dxa" w:w="21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 no projeto</w:t>
            </w:r>
          </w:p>
        </w:tc>
        <w:tc>
          <w:tcPr>
            <w:tcW w:type="dxa" w:w="47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NomeFornecedor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U_NomeFor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Nome do fornecedor (SA2) via POSICIONE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NomeProduto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U_NomePro</w:t>
            </w:r>
          </w:p>
        </w:tc>
        <w:tc>
          <w:tcPr>
            <w:tcW w:type="dxa" w:w="47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Descrição do produto (SB1)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PercNaoConforme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U_PercNC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Calcula o % de não conformidade (protegido contra divisão por zero)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CertificadoVencendo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U_CertVen</w:t>
            </w:r>
          </w:p>
        </w:tc>
        <w:tc>
          <w:tcPr>
            <w:tcW w:type="dxa" w:w="47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.T. se o certificado vence em até 30 dias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GravarLogTCC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U_LogTCC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Grava log técnico de erro em arquivo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(validação)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U_VldFor</w:t>
            </w:r>
          </w:p>
        </w:tc>
        <w:tc>
          <w:tcPr>
            <w:tcW w:type="dxa" w:w="47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Valida fornecedor+loja na SA2 (mensagem própria)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(validação)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U_VldCer</w:t>
            </w:r>
          </w:p>
        </w:tc>
        <w:tc>
          <w:tcPr>
            <w:tcW w:type="dxa" w:w="4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Valida certificado (ZZ2_CONFOR) na ZZ1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(validação)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U_VldPro</w:t>
            </w:r>
          </w:p>
        </w:tc>
        <w:tc>
          <w:tcPr>
            <w:tcW w:type="dxa" w:w="47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Valida produto (ZZ2_CODPRO) na SB1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333333"/>
          <w:sz w:val="26"/>
          <w:szCs w:val="26"/>
        </w:rPr>
        <w:t xml:space="preserve">6.4 STTZZCLS.PRW — Classe ADVPL (POO)</w:t>
      </w:r>
    </w:p>
    <w:p>
      <w:pPr>
        <w:spacing w:after="120"/>
      </w:pPr>
      <w:r>
        <w:rPr>
          <w:sz w:val="22"/>
          <w:szCs w:val="22"/>
        </w:rPr>
        <w:t xml:space="preserve">Classe ZCertificado que representa o certificado do fornecedor, com métodos: New(), DiasParaVencer(), Vencido(), Vencendo(), StatusCor() e DentroTolerancia(). Atende ao diferencial de programação orientada a objetos.</w:t>
      </w:r>
    </w:p>
    <w:p>
      <w:pPr>
        <w:pStyle w:val="Heading2"/>
        <w:spacing w:after="100" w:before="240"/>
      </w:pPr>
      <w:r>
        <w:rPr>
          <w:b/>
          <w:bCs/>
          <w:color w:val="333333"/>
          <w:sz w:val="26"/>
          <w:szCs w:val="26"/>
        </w:rPr>
        <w:t xml:space="preserve">6.5 STTZZTST.PRW — Massa de dados de teste</w:t>
      </w:r>
    </w:p>
    <w:p>
      <w:pPr>
        <w:spacing w:after="120"/>
      </w:pPr>
      <w:r>
        <w:rPr>
          <w:sz w:val="22"/>
          <w:szCs w:val="22"/>
        </w:rPr>
        <w:t xml:space="preserve">Rotina utilitária que cria fornecedores, produtos, certificados e ocorrências de exemplo (incluindo casos vencido, vencendo e acima da tolerância) para testar o sistema rapidamente.</w:t>
      </w:r>
    </w:p>
    <w:p>
      <w:pPr>
        <w:pStyle w:val="Heading1"/>
        <w:spacing w:after="140" w:before="320"/>
      </w:pPr>
      <w:r>
        <w:rPr>
          <w:b/>
          <w:bCs/>
          <w:color w:val="C55A11"/>
          <w:sz w:val="30"/>
          <w:szCs w:val="30"/>
        </w:rPr>
        <w:t xml:space="preserve">7. Consultas Padrão (SXB / F3)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Consulta</w:t>
            </w:r>
          </w:p>
        </w:tc>
        <w:tc>
          <w:tcPr>
            <w:tcW w:type="dxa" w:w="64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exibidos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ZZ1 (certificado)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ZZ1_CODIGO, ZZ1_NOMEFO, ZZ1_VALCER</w:t>
            </w:r>
          </w:p>
        </w:tc>
      </w:tr>
      <w:tr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SA2 (fornecedor)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A2_COD, A2_LOJA, A2_NOME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SB1 (produto)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B1_COD, B1_DESC, B1_UM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C55A11"/>
          <w:sz w:val="30"/>
          <w:szCs w:val="30"/>
        </w:rPr>
        <w:t xml:space="preserve">8. Tratamento de Erros</w:t>
      </w:r>
    </w:p>
    <w:p>
      <w:pPr>
        <w:spacing w:after="120"/>
      </w:pPr>
      <w:r>
        <w:rPr>
          <w:sz w:val="22"/>
          <w:szCs w:val="22"/>
        </w:rPr>
        <w:t xml:space="preserve">As gravações diretas no banco usam o padrão BEGIN SEQUENCE com mensagem amigável e log técnico:</w:t>
      </w:r>
    </w:p>
    <w:p>
      <w:pPr>
        <w:pBdr>
          <w:top w:val="single" w:color="1F1F1F" w:sz="2"/>
          <w:bottom w:val="single" w:color="1F1F1F" w:sz="2"/>
          <w:left w:val="single" w:color="C55A11" w:sz="12"/>
          <w:right w:val="single" w:color="1F1F1F" w:sz="2"/>
        </w:pBdr>
        <w:shd w:fill="1F1F1F" w:val="clear"/>
        <w:spacing w:after="120" w:before="8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Local oErro   := Nil</w:t>
      </w:r>
      <w:r>
        <w:br/>
      </w:r>
      <w:r>
        <w:rPr>
          <w:rFonts w:ascii="Consolas" w:cs="Consolas" w:eastAsia="Consolas" w:hAnsi="Consolas"/>
          <w:color w:val="E6E6E6"/>
          <w:sz w:val="18"/>
          <w:szCs w:val="18"/>
        </w:rPr>
        <w:t xml:space="preserve">Local bErrAnt := ErrorBlock({|e| oErro := e, Break(e)})</w:t>
      </w:r>
      <w:r>
        <w:br/>
      </w:r>
      <w:r>
        <w:rPr>
          <w:rFonts w:ascii="Consolas" w:cs="Consolas" w:eastAsia="Consolas" w:hAnsi="Consolas"/>
          <w:color w:val="E6E6E6"/>
          <w:sz w:val="18"/>
          <w:szCs w:val="18"/>
        </w:rPr>
        <w:t xml:space="preserve">BEGIN SEQUENCE</w:t>
      </w:r>
      <w:r>
        <w:br/>
      </w:r>
      <w:r>
        <w:rPr>
          <w:rFonts w:ascii="Consolas" w:cs="Consolas" w:eastAsia="Consolas" w:hAnsi="Consolas"/>
          <w:color w:val="E6E6E6"/>
          <w:sz w:val="18"/>
          <w:szCs w:val="18"/>
        </w:rPr>
        <w:t xml:space="preserve">    RecLock("ZZ1", .F.)</w:t>
      </w:r>
      <w:r>
        <w:br/>
      </w:r>
      <w:r>
        <w:rPr>
          <w:rFonts w:ascii="Consolas" w:cs="Consolas" w:eastAsia="Consolas" w:hAnsi="Consolas"/>
          <w:color w:val="E6E6E6"/>
          <w:sz w:val="18"/>
          <w:szCs w:val="18"/>
        </w:rPr>
        <w:t xml:space="preserve">        ZZ1-&gt;(dbDelete())</w:t>
      </w:r>
      <w:r>
        <w:br/>
      </w:r>
      <w:r>
        <w:rPr>
          <w:rFonts w:ascii="Consolas" w:cs="Consolas" w:eastAsia="Consolas" w:hAnsi="Consolas"/>
          <w:color w:val="E6E6E6"/>
          <w:sz w:val="18"/>
          <w:szCs w:val="18"/>
        </w:rPr>
        <w:t xml:space="preserve">    MsUnLock()</w:t>
      </w:r>
      <w:r>
        <w:br/>
      </w:r>
      <w:r>
        <w:rPr>
          <w:rFonts w:ascii="Consolas" w:cs="Consolas" w:eastAsia="Consolas" w:hAnsi="Consolas"/>
          <w:color w:val="E6E6E6"/>
          <w:sz w:val="18"/>
          <w:szCs w:val="18"/>
        </w:rPr>
        <w:t xml:space="preserve">RECOVER USING oErro</w:t>
      </w:r>
      <w:r>
        <w:br/>
      </w:r>
      <w:r>
        <w:rPr>
          <w:rFonts w:ascii="Consolas" w:cs="Consolas" w:eastAsia="Consolas" w:hAnsi="Consolas"/>
          <w:color w:val="E6E6E6"/>
          <w:sz w:val="18"/>
          <w:szCs w:val="18"/>
        </w:rPr>
        <w:t xml:space="preserve">    MsgAlert("Mensagem amigável ao usuário.", "Erro")</w:t>
      </w:r>
      <w:r>
        <w:br/>
      </w:r>
      <w:r>
        <w:rPr>
          <w:rFonts w:ascii="Consolas" w:cs="Consolas" w:eastAsia="Consolas" w:hAnsi="Consolas"/>
          <w:color w:val="E6E6E6"/>
          <w:sz w:val="18"/>
          <w:szCs w:val="18"/>
        </w:rPr>
        <w:t xml:space="preserve">    U_LogTCC("NomeDaFuncao", oErro)</w:t>
      </w:r>
      <w:r>
        <w:br/>
      </w:r>
      <w:r>
        <w:rPr>
          <w:rFonts w:ascii="Consolas" w:cs="Consolas" w:eastAsia="Consolas" w:hAnsi="Consolas"/>
          <w:color w:val="E6E6E6"/>
          <w:sz w:val="18"/>
          <w:szCs w:val="18"/>
        </w:rPr>
        <w:t xml:space="preserve">END SEQUENCE</w:t>
      </w:r>
      <w:r>
        <w:br/>
      </w:r>
      <w:r>
        <w:rPr>
          <w:rFonts w:ascii="Consolas" w:cs="Consolas" w:eastAsia="Consolas" w:hAnsi="Consolas"/>
          <w:color w:val="E6E6E6"/>
          <w:sz w:val="18"/>
          <w:szCs w:val="18"/>
        </w:rPr>
        <w:t xml:space="preserve">ErrorBlock(bErrAnt)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Em Protheus 8 evitamos BEGIN TRANSACTION / DisarmTransaction. Como cada gravação mexe em um único registro por vez, o BEGIN SEQUENCE já protege a operação com segurança.</w:t>
      </w:r>
    </w:p>
    <w:p>
      <w:pPr>
        <w:pStyle w:val="Heading1"/>
        <w:spacing w:after="140" w:before="320"/>
      </w:pPr>
      <w:r>
        <w:rPr>
          <w:b/>
          <w:bCs/>
          <w:color w:val="C55A11"/>
          <w:sz w:val="30"/>
          <w:szCs w:val="30"/>
        </w:rPr>
        <w:t xml:space="preserve">9. Instruções de Instalação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Passo 1 — Dicionário (SIGACFG &gt; Base de Dados &gt; Dicionário):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Criar as tabelas ZZ1 e ZZ2 (modo Compartilhado) conforme os arquivos CSV da pasta Dados-e-Dicionario.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Cadastrar os campos (SX3) com validações (X3_VALID) e consultas F3 (X3_F3), os índices (SIX), os gatilhos (SX7) e as consultas-padrão (SXB).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Preencher o Formato (X3_PICTURE) @E 999,999,999.99 nos campos numéricos de quantidade e valor.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Atualizar a estrutura para o sistema criar as tabelas físicas.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Passo 2 — Fontes (compilar no IDE / RPO, nesta ordem):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STTZZLIB.PRW e STTZZCLS.PRW primeiro (as demais dependem deles), depois STTZZ1.PRW, STTZZ2.PRW e STTZZTST.PRW.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Passo 3 — Menu (SIGACFG &gt; Ambiente &gt; Cadastros &gt; Menus):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Adicionar em Compras o grupo "Controle ISO 9001" com: Controle de Fornecimento (U_STTZZ1), Ocorrências de Fornecedores (U_STTZZ2) e Gerar Massa Teste (U_STTZZTST — utilitário).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Passo 4 — Teste: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Rodar "Gerar Massa Teste" uma vez e abrir "Controle de Fornecimento" para ver a legenda colorida.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C55A11"/>
          <w:sz w:val="30"/>
          <w:szCs w:val="30"/>
        </w:rPr>
        <w:t xml:space="preserve">10. Telas Funcionando (Evidências)</w:t>
      </w:r>
    </w:p>
    <w:p>
      <w:pPr>
        <w:pStyle w:val="Heading2"/>
        <w:spacing w:after="100" w:before="240"/>
      </w:pPr>
      <w:r>
        <w:rPr>
          <w:b/>
          <w:bCs/>
          <w:color w:val="333333"/>
          <w:sz w:val="26"/>
          <w:szCs w:val="26"/>
        </w:rPr>
        <w:t xml:space="preserve">10.1 Lista de certificados (ZZ1) com legenda colorida</w:t>
      </w:r>
    </w:p>
    <w:p>
      <w:pPr>
        <w:pBdr>
          <w:top w:val="single" w:color="BBBBBB" w:sz="4"/>
          <w:bottom w:val="single" w:color="BBBBBB" w:sz="4"/>
          <w:left w:val="single" w:color="BBBBBB" w:sz="4"/>
          <w:right w:val="single" w:color="BBBBBB" w:sz="4"/>
        </w:pBdr>
        <w:spacing w:after="20" w:before="80"/>
        <w:jc w:val="center"/>
      </w:pPr>
      <w:r>
        <w:drawing>
          <wp:inline distT="0" distB="0" distL="0" distR="0">
            <wp:extent cx="57150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Vermelho = vencido; Amarelo = vence em 30 dias; Verde = ok</w:t>
      </w:r>
    </w:p>
    <w:p>
      <w:pPr>
        <w:pStyle w:val="Heading2"/>
        <w:spacing w:after="100" w:before="240"/>
      </w:pPr>
      <w:r>
        <w:rPr>
          <w:b/>
          <w:bCs/>
          <w:color w:val="333333"/>
          <w:sz w:val="26"/>
          <w:szCs w:val="26"/>
        </w:rPr>
        <w:t xml:space="preserve">10.2 Ocorrências (ZZ2) filtradas com legenda por tolerância</w:t>
      </w:r>
    </w:p>
    <w:p>
      <w:pPr>
        <w:pBdr>
          <w:top w:val="single" w:color="BBBBBB" w:sz="4"/>
          <w:bottom w:val="single" w:color="BBBBBB" w:sz="4"/>
          <w:left w:val="single" w:color="BBBBBB" w:sz="4"/>
          <w:right w:val="single" w:color="BBBBBB" w:sz="4"/>
        </w:pBdr>
        <w:spacing w:after="20" w:before="80"/>
        <w:jc w:val="center"/>
      </w:pPr>
      <w:r>
        <w:drawing>
          <wp:inline distT="0" distB="0" distL="0" distR="0">
            <wp:extent cx="57150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Linha verde (dentro da tolerância) e vermelha (acima da tolerância)</w:t>
      </w:r>
    </w:p>
    <w:p>
      <w:pPr>
        <w:pStyle w:val="Heading2"/>
        <w:spacing w:after="100" w:before="240"/>
      </w:pPr>
      <w:r>
        <w:rPr>
          <w:b/>
          <w:bCs/>
          <w:color w:val="333333"/>
          <w:sz w:val="26"/>
          <w:szCs w:val="26"/>
        </w:rPr>
        <w:t xml:space="preserve">10.3 Registro com campos virtuais calculados</w:t>
      </w:r>
    </w:p>
    <w:p>
      <w:pPr>
        <w:pBdr>
          <w:top w:val="single" w:color="BBBBBB" w:sz="4"/>
          <w:bottom w:val="single" w:color="BBBBBB" w:sz="4"/>
          <w:left w:val="single" w:color="BBBBBB" w:sz="4"/>
          <w:right w:val="single" w:color="BBBBBB" w:sz="4"/>
        </w:pBdr>
        <w:spacing w:after="20" w:before="80"/>
        <w:jc w:val="center"/>
      </w:pPr>
      <w:r>
        <w:drawing>
          <wp:inline distT="0" distB="0" distL="0" distR="0">
            <wp:extent cx="57150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Nome Fornecedor e R$ Conf / R$ N.Conf calculados automaticamente</w:t>
      </w:r>
    </w:p>
    <w:p>
      <w:pPr>
        <w:pStyle w:val="Heading2"/>
        <w:spacing w:after="100" w:before="240"/>
      </w:pPr>
      <w:r>
        <w:rPr>
          <w:b/>
          <w:bCs/>
          <w:color w:val="333333"/>
          <w:sz w:val="26"/>
          <w:szCs w:val="26"/>
        </w:rPr>
        <w:t xml:space="preserve">10.4 Integridade: exclusão bloqueada</w:t>
      </w:r>
    </w:p>
    <w:p>
      <w:pPr>
        <w:pBdr>
          <w:top w:val="single" w:color="BBBBBB" w:sz="4"/>
          <w:bottom w:val="single" w:color="BBBBBB" w:sz="4"/>
          <w:left w:val="single" w:color="BBBBBB" w:sz="4"/>
          <w:right w:val="single" w:color="BBBBBB" w:sz="4"/>
        </w:pBdr>
        <w:spacing w:after="20" w:before="80"/>
        <w:jc w:val="center"/>
      </w:pPr>
      <w:r>
        <w:drawing>
          <wp:inline distT="0" distB="0" distL="0" distR="0">
            <wp:extent cx="57150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Impede excluir uma ZZ1 que tenha ocorrências (ZZ2) vinculadas</w:t>
      </w:r>
    </w:p>
    <w:p>
      <w:pPr>
        <w:pStyle w:val="Heading2"/>
        <w:spacing w:after="100" w:before="240"/>
      </w:pPr>
      <w:r>
        <w:rPr>
          <w:b/>
          <w:bCs/>
          <w:color w:val="333333"/>
          <w:sz w:val="26"/>
          <w:szCs w:val="26"/>
        </w:rPr>
        <w:t xml:space="preserve">10.5 Validação bloqueando dado inválido</w:t>
      </w:r>
    </w:p>
    <w:p>
      <w:pPr>
        <w:pBdr>
          <w:top w:val="single" w:color="BBBBBB" w:sz="4"/>
          <w:bottom w:val="single" w:color="BBBBBB" w:sz="4"/>
          <w:left w:val="single" w:color="BBBBBB" w:sz="4"/>
          <w:right w:val="single" w:color="BBBBBB" w:sz="4"/>
        </w:pBdr>
        <w:spacing w:after="20" w:before="80"/>
        <w:jc w:val="center"/>
      </w:pPr>
      <w:r>
        <w:drawing>
          <wp:inline distT="0" distB="0" distL="0" distR="0">
            <wp:extent cx="5715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Mensagem amigável ao tentar tolerância acima de 100</w:t>
      </w:r>
    </w:p>
    <w:p>
      <w:pPr>
        <w:pStyle w:val="Heading1"/>
        <w:spacing w:after="140" w:before="320"/>
      </w:pPr>
      <w:r>
        <w:rPr>
          <w:b/>
          <w:bCs/>
          <w:color w:val="C55A11"/>
          <w:sz w:val="30"/>
          <w:szCs w:val="30"/>
        </w:rPr>
        <w:t xml:space="preserve">11. Checklist da Rubrica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600"/>
      </w:tblGrid>
      <w:tr>
        <w:trPr>
          <w:tblHeader/>
        </w:trPr>
        <w:tc>
          <w:tcPr>
            <w:tcW w:type="dxa" w:w="42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2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3600"/>
            <w:shd w:fill="C55A1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está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Dicionário (tabelas, índices, SX3)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Pasta Dados-e-Dicionario</w:t>
            </w:r>
          </w:p>
        </w:tc>
      </w:tr>
      <w:tr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Rotinas (mBrowse, legendas, filtros)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STTZZ1.PRW, STTZZ2.PRW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Validações de dados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SX3 (X3_VALID) + STTZZ1 (exclusão)</w:t>
            </w:r>
          </w:p>
        </w:tc>
      </w:tr>
      <w:tr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Gatilhos automáticos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SX7-Gatilhos.csv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Tratamento de erros (BEGIN SEQUENCE)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STTZZ1.PRW, STTZZTST.PRW</w:t>
            </w:r>
          </w:p>
        </w:tc>
      </w:tr>
      <w:tr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Biblioteca (STTZZLIB)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STTZZLIB.PRW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Menu configurado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sigacom-menu.txt</w:t>
            </w:r>
          </w:p>
        </w:tc>
      </w:tr>
      <w:tr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Este documento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Diferenciais implementados: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Indentação e comentários de cabeçalho/funções em todos os fontes.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Reaproveitamento de código (STTZZLIB, com U_VldFor/U_VldCer/U_VldPro reaproveitadas nas validações), zero duplicação.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Validação de consistência em todos os campos de entrada.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Legenda da ZZ2 calculando % não conforme vs tolerância (ZZ1_TOLERA).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Classe ADVPL / POO (ZCertificado).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Impede exclusão de ZZ1 com ZZ2 vinculada (integridade referencial).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0b491fa68c9747a24c4ae54e459aa04ce976f7.png"/><Relationship Id="rId8" Type="http://schemas.openxmlformats.org/officeDocument/2006/relationships/image" Target="media/36704f4ec14657a0560bba314bb7d201c4d117c9.png"/><Relationship Id="rId9" Type="http://schemas.openxmlformats.org/officeDocument/2006/relationships/image" Target="media/46e6fa39e4183c0a524e73adcfcc97a7db639ab1.png"/><Relationship Id="rId10" Type="http://schemas.openxmlformats.org/officeDocument/2006/relationships/image" Target="media/a05eb8d1d6870fb757c97f9bcb847c7aa5db9aa2.png"/><Relationship Id="rId11" Type="http://schemas.openxmlformats.org/officeDocument/2006/relationships/image" Target="media/d50a6572a23b09441629db432f53519b958e8f9d.png"/><Relationship Id="rId12" Type="http://schemas.openxmlformats.org/officeDocument/2006/relationships/image" Target="media/85413510169051c67395b02b256a8da34c5c2a71.png"/><Relationship Id="rId13" Type="http://schemas.openxmlformats.org/officeDocument/2006/relationships/image" Target="media/b411a0d6371d7393e1c6d496f948364c85355a21.png"/><Relationship Id="rId14" Type="http://schemas.openxmlformats.org/officeDocument/2006/relationships/image" Target="media/41605780b896ec22a58860f8e282765ccb193ebb.png"/><Relationship Id="rId15" Type="http://schemas.openxmlformats.org/officeDocument/2006/relationships/image" Target="media/353d5974202d6ba257d00630b8c67366b8cded63.png"/><Relationship Id="rId16" Type="http://schemas.openxmlformats.org/officeDocument/2006/relationships/image" Target="media/26df6617e83163ad66a5baefc145ff01c6fed8af.png"/><Relationship Id="rId17" Type="http://schemas.openxmlformats.org/officeDocument/2006/relationships/image" Target="media/aecdec676a4801f863259dcbf4fb70a9a672bca4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2026-08-07T03:00:47.131Z</dcterms:created>
  <dcterms:modified xsi:type="dcterms:W3CDTF">2026-08-07T03:00:47.131Z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