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7FD32" w14:textId="066D3B3B" w:rsidR="000A2189" w:rsidRDefault="00000000">
      <w:pPr>
        <w:pStyle w:val="MdHeading1"/>
      </w:pPr>
      <w:r>
        <w:t>Documentação da Base de Dados para Análise Difference-in-Differences (DiD)</w:t>
      </w:r>
      <w:r w:rsidR="004F0EAD">
        <w:t xml:space="preserve"> IFOOD e criminalidade</w:t>
      </w:r>
    </w:p>
    <w:p w14:paraId="56B92CEC" w14:textId="77777777" w:rsidR="000A2189" w:rsidRDefault="00000000">
      <w:pPr>
        <w:pStyle w:val="MdParagraph"/>
      </w:pPr>
      <w:r>
        <w:t xml:space="preserve">Esta base de dados sintética foi elaborada para simular o cenário de análise de impacto do iFood na redução da criminalidade, conforme sugerido pelo artigo de referência. A estrutura de dados é adequada para a aplicação do método econométrico </w:t>
      </w:r>
      <w:r>
        <w:rPr>
          <w:rStyle w:val="MdStrong"/>
        </w:rPr>
        <w:t>Difference-in-Differences (DiD)</w:t>
      </w:r>
      <w:r>
        <w:t>.</w:t>
      </w:r>
    </w:p>
    <w:p w14:paraId="18FD37B2" w14:textId="77777777" w:rsidR="000A2189" w:rsidRDefault="000A2189">
      <w:pPr>
        <w:pStyle w:val="MdSpace"/>
        <w:spacing w:after="60"/>
      </w:pPr>
    </w:p>
    <w:p w14:paraId="454E78F6" w14:textId="77777777" w:rsidR="000A2189" w:rsidRDefault="00000000">
      <w:pPr>
        <w:pStyle w:val="MdHeading2"/>
      </w:pPr>
      <w:r>
        <w:t>Estrutura da Base de Dados</w:t>
      </w:r>
    </w:p>
    <w:p w14:paraId="6E835247" w14:textId="77777777" w:rsidR="000A2189" w:rsidRDefault="00000000">
      <w:pPr>
        <w:pStyle w:val="MdParagraph"/>
      </w:pPr>
      <w:r>
        <w:t xml:space="preserve">O arquivo </w:t>
      </w:r>
      <w:r>
        <w:rPr>
          <w:u w:val="single"/>
        </w:rPr>
        <w:t>base_did_ifood_sintetica.csv</w:t>
      </w:r>
      <w:r>
        <w:t xml:space="preserve"> contém 400 observações (50 áreas x 8 anos) e as seguintes variáveis:</w:t>
      </w:r>
    </w:p>
    <w:p w14:paraId="3EF850A0" w14:textId="77777777" w:rsidR="000A2189" w:rsidRDefault="000A2189">
      <w:pPr>
        <w:pStyle w:val="MdSpace"/>
        <w:spacing w:after="60"/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30"/>
        <w:gridCol w:w="1196"/>
        <w:gridCol w:w="6400"/>
      </w:tblGrid>
      <w:tr w:rsidR="000A2189" w14:paraId="01CA3C71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39D414" w14:textId="77777777" w:rsidR="000A2189" w:rsidRDefault="00000000">
            <w:pPr>
              <w:pStyle w:val="MdTableHeader"/>
            </w:pPr>
            <w:r>
              <w:t>Variável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89E7D1" w14:textId="77777777" w:rsidR="000A2189" w:rsidRDefault="00000000">
            <w:pPr>
              <w:pStyle w:val="MdTableHeader"/>
            </w:pPr>
            <w:r>
              <w:t>Tipo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8F33FD" w14:textId="77777777" w:rsidR="000A2189" w:rsidRDefault="00000000">
            <w:pPr>
              <w:pStyle w:val="MdTableHeader"/>
            </w:pPr>
            <w:r>
              <w:t>Descrição</w:t>
            </w:r>
          </w:p>
        </w:tc>
      </w:tr>
      <w:tr w:rsidR="000A2189" w14:paraId="44005E44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D721F" w14:textId="77777777" w:rsidR="000A2189" w:rsidRDefault="00000000">
            <w:pPr>
              <w:pStyle w:val="MdTableCell"/>
            </w:pPr>
            <w:r>
              <w:rPr>
                <w:rStyle w:val="MdStrong"/>
              </w:rPr>
              <w:t>id_area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8FFC82" w14:textId="77777777" w:rsidR="000A2189" w:rsidRDefault="00000000">
            <w:pPr>
              <w:pStyle w:val="MdTableCell"/>
            </w:pPr>
            <w:r>
              <w:t>Categórica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6F1A1" w14:textId="77777777" w:rsidR="000A2189" w:rsidRDefault="00000000">
            <w:pPr>
              <w:pStyle w:val="MdTableCell"/>
            </w:pPr>
            <w:r>
              <w:t>Identificador único da unidade de observação (ex: bairro, município).</w:t>
            </w:r>
          </w:p>
        </w:tc>
      </w:tr>
      <w:tr w:rsidR="000A2189" w14:paraId="1F689012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D3A0E" w14:textId="77777777" w:rsidR="000A2189" w:rsidRDefault="00000000">
            <w:pPr>
              <w:pStyle w:val="MdTableCell"/>
            </w:pPr>
            <w:r>
              <w:rPr>
                <w:rStyle w:val="MdStrong"/>
              </w:rPr>
              <w:t>ano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925BF" w14:textId="77777777" w:rsidR="000A2189" w:rsidRDefault="00000000">
            <w:pPr>
              <w:pStyle w:val="MdTableCell"/>
            </w:pPr>
            <w:r>
              <w:t>Numérica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9D11F" w14:textId="77777777" w:rsidR="000A2189" w:rsidRDefault="00000000">
            <w:pPr>
              <w:pStyle w:val="MdTableCell"/>
            </w:pPr>
            <w:proofErr w:type="gramStart"/>
            <w:r>
              <w:t>Período de tempo</w:t>
            </w:r>
            <w:proofErr w:type="gramEnd"/>
            <w:r>
              <w:t xml:space="preserve"> da observação (2018 a 2025).</w:t>
            </w:r>
          </w:p>
        </w:tc>
      </w:tr>
      <w:tr w:rsidR="000A2189" w14:paraId="3933273F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BB51F" w14:textId="77777777" w:rsidR="000A2189" w:rsidRDefault="00000000">
            <w:pPr>
              <w:pStyle w:val="MdTableCell"/>
            </w:pPr>
            <w:r>
              <w:rPr>
                <w:rStyle w:val="MdStrong"/>
              </w:rPr>
              <w:t>criminalidade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00AAE" w14:textId="77777777" w:rsidR="000A2189" w:rsidRDefault="00000000">
            <w:pPr>
              <w:pStyle w:val="MdTableCell"/>
            </w:pPr>
            <w:r>
              <w:t>Numérica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767353" w14:textId="77777777" w:rsidR="000A2189" w:rsidRDefault="00000000">
            <w:pPr>
              <w:pStyle w:val="MdTableCell"/>
            </w:pPr>
            <w:r>
              <w:t>Variável de resultado: Taxa de criminalidade (simulada).</w:t>
            </w:r>
          </w:p>
        </w:tc>
      </w:tr>
      <w:tr w:rsidR="000A2189" w14:paraId="7E3AFC65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56B88" w14:textId="77777777" w:rsidR="000A2189" w:rsidRDefault="00000000">
            <w:pPr>
              <w:pStyle w:val="MdTableCell"/>
            </w:pPr>
            <w:r>
              <w:rPr>
                <w:rStyle w:val="MdStrong"/>
              </w:rPr>
              <w:t>treated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B43D6" w14:textId="77777777" w:rsidR="000A2189" w:rsidRDefault="00000000">
            <w:pPr>
              <w:pStyle w:val="MdTableCell"/>
            </w:pPr>
            <w:r>
              <w:t>Binária (0/1)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560CEF" w14:textId="77777777" w:rsidR="000A2189" w:rsidRDefault="00000000">
            <w:pPr>
              <w:pStyle w:val="MdTableCell"/>
            </w:pPr>
            <w:r>
              <w:t>Variável de Grupo de Tratamento: 1 se a área recebeu a intervenção (expansão do iFood), 0 caso contrário (Grupo de Controle).</w:t>
            </w:r>
          </w:p>
        </w:tc>
      </w:tr>
      <w:tr w:rsidR="000A2189" w14:paraId="6AA64DD3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1AB26" w14:textId="77777777" w:rsidR="000A2189" w:rsidRDefault="00000000">
            <w:pPr>
              <w:pStyle w:val="MdTableCell"/>
            </w:pPr>
            <w:r>
              <w:rPr>
                <w:rStyle w:val="MdStrong"/>
              </w:rPr>
              <w:t>post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F9F67" w14:textId="77777777" w:rsidR="000A2189" w:rsidRDefault="00000000">
            <w:pPr>
              <w:pStyle w:val="MdTableCell"/>
            </w:pPr>
            <w:r>
              <w:t>Binária (0/1)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32104" w14:textId="77777777" w:rsidR="000A2189" w:rsidRDefault="00000000">
            <w:pPr>
              <w:pStyle w:val="MdTableCell"/>
            </w:pPr>
            <w:r>
              <w:t>Variável de Período Pós-Intervenção: 1 para anos a partir de 2022, 0 para anos anteriores (Período Pré-Intervenção).</w:t>
            </w:r>
          </w:p>
        </w:tc>
      </w:tr>
      <w:tr w:rsidR="000A2189" w14:paraId="77412B30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47A69" w14:textId="77777777" w:rsidR="000A2189" w:rsidRDefault="00000000">
            <w:pPr>
              <w:pStyle w:val="MdTableCell"/>
            </w:pPr>
            <w:r>
              <w:rPr>
                <w:rStyle w:val="MdStrong"/>
              </w:rPr>
              <w:t>did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8D10F" w14:textId="77777777" w:rsidR="000A2189" w:rsidRDefault="00000000">
            <w:pPr>
              <w:pStyle w:val="MdTableCell"/>
            </w:pPr>
            <w:r>
              <w:t>Binária (0/1)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8E7CC" w14:textId="77777777" w:rsidR="000A2189" w:rsidRDefault="00000000">
            <w:pPr>
              <w:pStyle w:val="MdTableCell"/>
            </w:pPr>
            <w:r>
              <w:t xml:space="preserve">Variável de Interação (DiD): </w:t>
            </w:r>
            <w:r>
              <w:rPr>
                <w:u w:val="single"/>
              </w:rPr>
              <w:t>treated * post</w:t>
            </w:r>
            <w:r>
              <w:t>. É o coeficiente de interesse que mede o efeito causal do tratamento.</w:t>
            </w:r>
          </w:p>
        </w:tc>
      </w:tr>
      <w:tr w:rsidR="000A2189" w14:paraId="24299460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2C57A" w14:textId="77777777" w:rsidR="000A2189" w:rsidRDefault="00000000">
            <w:pPr>
              <w:pStyle w:val="MdTableCell"/>
            </w:pPr>
            <w:r>
              <w:rPr>
                <w:rStyle w:val="MdStrong"/>
              </w:rPr>
              <w:t>renda_</w:t>
            </w:r>
            <w:proofErr w:type="gramStart"/>
            <w:r>
              <w:rPr>
                <w:rStyle w:val="MdStrong"/>
              </w:rPr>
              <w:t>media</w:t>
            </w:r>
            <w:proofErr w:type="gram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EA8AB" w14:textId="77777777" w:rsidR="000A2189" w:rsidRDefault="00000000">
            <w:pPr>
              <w:pStyle w:val="MdTableCell"/>
            </w:pPr>
            <w:r>
              <w:t>Numérica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98FAC" w14:textId="77777777" w:rsidR="000A2189" w:rsidRDefault="00000000">
            <w:pPr>
              <w:pStyle w:val="MdTableCell"/>
            </w:pPr>
            <w:r>
              <w:t>Variável de Controle: Renda média da área (simulada).</w:t>
            </w:r>
          </w:p>
        </w:tc>
      </w:tr>
      <w:tr w:rsidR="000A2189" w14:paraId="1937C1C7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DE703" w14:textId="77777777" w:rsidR="000A2189" w:rsidRDefault="00000000">
            <w:pPr>
              <w:pStyle w:val="MdTableCell"/>
            </w:pPr>
            <w:r>
              <w:rPr>
                <w:rStyle w:val="MdStrong"/>
              </w:rPr>
              <w:t>pedidos_ifood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44A82" w14:textId="77777777" w:rsidR="000A2189" w:rsidRDefault="00000000">
            <w:pPr>
              <w:pStyle w:val="MdTableCell"/>
            </w:pPr>
            <w:r>
              <w:t>Numérica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B5710" w14:textId="77777777" w:rsidR="000A2189" w:rsidRDefault="00000000">
            <w:pPr>
              <w:pStyle w:val="MdTableCell"/>
            </w:pPr>
            <w:r>
              <w:t>Variável de Controle: Número de pedidos do iFood na área (simulada, reflete a intensidade do tratamento).</w:t>
            </w:r>
          </w:p>
        </w:tc>
      </w:tr>
    </w:tbl>
    <w:p w14:paraId="0B11B548" w14:textId="77777777" w:rsidR="000A2189" w:rsidRDefault="00000000">
      <w:pPr>
        <w:pStyle w:val="MdHeading2"/>
      </w:pPr>
      <w:r>
        <w:t>Lógica da Simulação (DiD)</w:t>
      </w:r>
    </w:p>
    <w:p w14:paraId="4164314C" w14:textId="77777777" w:rsidR="000A2189" w:rsidRDefault="00000000">
      <w:pPr>
        <w:pStyle w:val="MdParagraph"/>
      </w:pPr>
      <w:r>
        <w:t>A simulação foi construída com os seguintes parâmetros para ilustrar um efeito causal negativo (redução da criminalidade) do iFood:</w:t>
      </w:r>
    </w:p>
    <w:p w14:paraId="3BC3F58B" w14:textId="77777777" w:rsidR="000A2189" w:rsidRDefault="000A2189">
      <w:pPr>
        <w:pStyle w:val="MdSpace"/>
        <w:spacing w:after="60"/>
      </w:pPr>
    </w:p>
    <w:p w14:paraId="67AFB387" w14:textId="77777777" w:rsidR="000A2189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Unidades de Observação:</w:t>
      </w:r>
      <w:r>
        <w:t xml:space="preserve"> 50 áreas (bairros/municípios).</w:t>
      </w:r>
    </w:p>
    <w:p w14:paraId="5A8740AC" w14:textId="77777777" w:rsidR="000A2189" w:rsidRDefault="00000000">
      <w:pPr>
        <w:pStyle w:val="MdListItem"/>
        <w:numPr>
          <w:ilvl w:val="0"/>
          <w:numId w:val="2"/>
        </w:numPr>
      </w:pPr>
      <w:proofErr w:type="gramStart"/>
      <w:r>
        <w:rPr>
          <w:rStyle w:val="MdStrong"/>
        </w:rPr>
        <w:lastRenderedPageBreak/>
        <w:t>Período de Tempo</w:t>
      </w:r>
      <w:proofErr w:type="gramEnd"/>
      <w:r>
        <w:rPr>
          <w:rStyle w:val="MdStrong"/>
        </w:rPr>
        <w:t>:</w:t>
      </w:r>
      <w:r>
        <w:t xml:space="preserve"> 8 anos (2018 a 2025).</w:t>
      </w:r>
    </w:p>
    <w:p w14:paraId="11C8DF47" w14:textId="77777777" w:rsidR="000A2189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Intervenção (Tratamento):</w:t>
      </w:r>
      <w:r>
        <w:t xml:space="preserve"> Expansão do iFood (variável </w:t>
      </w:r>
      <w:r>
        <w:rPr>
          <w:u w:val="single"/>
        </w:rPr>
        <w:t>treated</w:t>
      </w:r>
      <w:r>
        <w:t>).</w:t>
      </w:r>
    </w:p>
    <w:p w14:paraId="622A63A2" w14:textId="77777777" w:rsidR="000A2189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Período de Intervenção:</w:t>
      </w:r>
      <w:r>
        <w:t xml:space="preserve"> A partir do ano 2022 (variável </w:t>
      </w:r>
      <w:r>
        <w:rPr>
          <w:u w:val="single"/>
        </w:rPr>
        <w:t>post</w:t>
      </w:r>
      <w:r>
        <w:t>).</w:t>
      </w:r>
    </w:p>
    <w:p w14:paraId="0F3D2A93" w14:textId="77777777" w:rsidR="000A2189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Efeito Simulado:</w:t>
      </w:r>
    </w:p>
    <w:p w14:paraId="38971262" w14:textId="77777777" w:rsidR="000A2189" w:rsidRDefault="00000000">
      <w:pPr>
        <w:pStyle w:val="MdListItem"/>
        <w:numPr>
          <w:ilvl w:val="1"/>
          <w:numId w:val="3"/>
        </w:numPr>
      </w:pPr>
      <w:r>
        <w:rPr>
          <w:rStyle w:val="MdStrong"/>
        </w:rPr>
        <w:t>Efeito DiD (Redução):</w:t>
      </w:r>
      <w:r>
        <w:t xml:space="preserve"> O coeficiente da variável </w:t>
      </w:r>
      <w:r>
        <w:rPr>
          <w:u w:val="single"/>
        </w:rPr>
        <w:t>did</w:t>
      </w:r>
      <w:r>
        <w:t xml:space="preserve"> foi simulado para ser aproximadamente </w:t>
      </w:r>
      <w:r>
        <w:rPr>
          <w:rStyle w:val="MdStrong"/>
        </w:rPr>
        <w:t>-10</w:t>
      </w:r>
      <w:r>
        <w:t>, indicando uma redução de 10 unidades na taxa de criminalidade nas áreas tratadas após a intervenção, em comparação com o grupo de controle.</w:t>
      </w:r>
    </w:p>
    <w:p w14:paraId="16A9104C" w14:textId="77777777" w:rsidR="000A2189" w:rsidRDefault="00000000">
      <w:pPr>
        <w:pStyle w:val="MdListItem"/>
        <w:numPr>
          <w:ilvl w:val="1"/>
          <w:numId w:val="3"/>
        </w:numPr>
      </w:pPr>
      <w:r>
        <w:rPr>
          <w:rStyle w:val="MdStrong"/>
        </w:rPr>
        <w:t>Tendência Temporal:</w:t>
      </w:r>
      <w:r>
        <w:t xml:space="preserve"> Uma leve tendência de queda geral na criminalidade (</w:t>
      </w:r>
      <w:r>
        <w:rPr>
          <w:u w:val="single"/>
        </w:rPr>
        <w:t>post</w:t>
      </w:r>
      <w:r>
        <w:t xml:space="preserve"> = -3).</w:t>
      </w:r>
    </w:p>
    <w:p w14:paraId="6EE2ED27" w14:textId="77777777" w:rsidR="000A2189" w:rsidRDefault="00000000">
      <w:pPr>
        <w:pStyle w:val="MdListItem"/>
        <w:numPr>
          <w:ilvl w:val="1"/>
          <w:numId w:val="3"/>
        </w:numPr>
      </w:pPr>
      <w:r>
        <w:rPr>
          <w:rStyle w:val="MdStrong"/>
        </w:rPr>
        <w:t>Diferença Base:</w:t>
      </w:r>
      <w:r>
        <w:t xml:space="preserve"> Áreas tratadas começam com uma criminalidade base ligeiramente maior (</w:t>
      </w:r>
      <w:r>
        <w:rPr>
          <w:u w:val="single"/>
        </w:rPr>
        <w:t>treated</w:t>
      </w:r>
      <w:r>
        <w:t xml:space="preserve"> = +5).</w:t>
      </w:r>
    </w:p>
    <w:p w14:paraId="12B0DE31" w14:textId="77777777" w:rsidR="000A2189" w:rsidRDefault="000A2189">
      <w:pPr>
        <w:pStyle w:val="MdSpace"/>
        <w:spacing w:after="60"/>
      </w:pPr>
    </w:p>
    <w:p w14:paraId="2648BC5E" w14:textId="77777777" w:rsidR="000A2189" w:rsidRDefault="00000000">
      <w:pPr>
        <w:pStyle w:val="MdHeading2"/>
      </w:pPr>
      <w:r>
        <w:t>Como Utilizar para Análise DiD</w:t>
      </w:r>
    </w:p>
    <w:p w14:paraId="4F6F2F53" w14:textId="77777777" w:rsidR="000A2189" w:rsidRDefault="00000000">
      <w:pPr>
        <w:pStyle w:val="MdParagraph"/>
      </w:pPr>
      <w:r>
        <w:t>Para estimar o efeito causal do iFood na criminalidade, deve-se rodar uma regressão de Mínimos Quadrados Ordinários (MQO) com a seguinte especificação:</w:t>
      </w:r>
    </w:p>
    <w:p w14:paraId="7777606F" w14:textId="77777777" w:rsidR="000A2189" w:rsidRDefault="000A2189">
      <w:pPr>
        <w:pStyle w:val="MdSpace"/>
        <w:spacing w:after="60"/>
      </w:pPr>
    </w:p>
    <w:p w14:paraId="39BB87FF" w14:textId="50CECE7C" w:rsidR="000A2189" w:rsidRDefault="00AD082A">
      <w:pPr>
        <w:pStyle w:val="MdParagraph"/>
      </w:pPr>
      <w:r w:rsidRPr="00AD082A">
        <w:drawing>
          <wp:inline distT="0" distB="0" distL="0" distR="0" wp14:anchorId="28D450CD" wp14:editId="7946DD39">
            <wp:extent cx="5731510" cy="280035"/>
            <wp:effectExtent l="0" t="0" r="2540" b="5715"/>
            <wp:docPr id="144087105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8710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7874C" w14:textId="11C75BFC" w:rsidR="000A2189" w:rsidRPr="00AD082A" w:rsidRDefault="00AD082A" w:rsidP="00AD082A">
      <w:pPr>
        <w:pStyle w:val="MdSpace"/>
        <w:spacing w:after="60"/>
        <w:jc w:val="both"/>
        <w:rPr>
          <w:sz w:val="24"/>
          <w:szCs w:val="24"/>
        </w:rPr>
      </w:pPr>
      <w:r w:rsidRPr="00AD082A">
        <w:rPr>
          <w:sz w:val="24"/>
          <w:szCs w:val="24"/>
        </w:rPr>
        <w:t xml:space="preserve">O nível de criminalidade no município </w:t>
      </w:r>
      <m:oMath>
        <m:r>
          <w:rPr>
            <w:rFonts w:ascii="Cambria Math" w:hAnsi="Cambria Math"/>
            <w:sz w:val="24"/>
            <w:szCs w:val="24"/>
          </w:rPr>
          <m:t>i</m:t>
        </m:r>
      </m:oMath>
      <w:r w:rsidRPr="00AD082A">
        <w:rPr>
          <w:sz w:val="24"/>
          <w:szCs w:val="24"/>
        </w:rPr>
        <w:t xml:space="preserve">no período </w:t>
      </w:r>
      <m:oMath>
        <m:r>
          <w:rPr>
            <w:rFonts w:ascii="Cambria Math" w:hAnsi="Cambria Math"/>
            <w:sz w:val="24"/>
            <w:szCs w:val="24"/>
          </w:rPr>
          <m:t>t</m:t>
        </m:r>
      </m:oMath>
      <w:r w:rsidRPr="00AD082A">
        <w:rPr>
          <w:sz w:val="24"/>
          <w:szCs w:val="24"/>
        </w:rPr>
        <w:t xml:space="preserve">é explicado por uma constante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β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0</m:t>
            </m:r>
          </m:sub>
        </m:sSub>
      </m:oMath>
      <w:r w:rsidRPr="00AD082A">
        <w:rPr>
          <w:sz w:val="24"/>
          <w:szCs w:val="24"/>
        </w:rPr>
        <w:t>, pelo efeito médio de estar no grupo tratado (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β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sz w:val="24"/>
            <w:szCs w:val="24"/>
          </w:rPr>
          <m:t>⋅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>
                <m:nor/>
              </m:rPr>
              <w:rPr>
                <w:sz w:val="24"/>
                <w:szCs w:val="24"/>
              </w:rPr>
              <m:t>Treated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i</m:t>
            </m:r>
          </m:sub>
        </m:sSub>
      </m:oMath>
      <w:r w:rsidRPr="00AD082A">
        <w:rPr>
          <w:sz w:val="24"/>
          <w:szCs w:val="24"/>
        </w:rPr>
        <w:t>), pelo efeito médio do período posterior à intervenção (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β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/>
            <w:sz w:val="24"/>
            <w:szCs w:val="24"/>
          </w:rPr>
          <m:t>⋅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>
                <m:nor/>
              </m:rPr>
              <w:rPr>
                <w:sz w:val="24"/>
                <w:szCs w:val="24"/>
              </w:rPr>
              <m:t>Post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t</m:t>
            </m:r>
          </m:sub>
        </m:sSub>
      </m:oMath>
      <w:r w:rsidRPr="00AD082A">
        <w:rPr>
          <w:sz w:val="24"/>
          <w:szCs w:val="24"/>
        </w:rPr>
        <w:t>), pela interação entre tratamento e período pós (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β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3</m:t>
            </m:r>
          </m:sub>
        </m:sSub>
        <m:r>
          <w:rPr>
            <w:rFonts w:ascii="Cambria Math" w:hAnsi="Cambria Math"/>
            <w:sz w:val="24"/>
            <w:szCs w:val="24"/>
          </w:rPr>
          <m:t>⋅(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>
                <m:nor/>
              </m:rPr>
              <w:rPr>
                <w:sz w:val="24"/>
                <w:szCs w:val="24"/>
              </w:rPr>
              <m:t>Treated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i</m:t>
            </m:r>
          </m:sub>
        </m:sSub>
        <m:r>
          <w:rPr>
            <w:rFonts w:ascii="Cambria Math" w:hAnsi="Cambria Math"/>
            <w:sz w:val="24"/>
            <w:szCs w:val="24"/>
          </w:rPr>
          <m:t>×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>
                <m:nor/>
              </m:rPr>
              <w:rPr>
                <w:sz w:val="24"/>
                <w:szCs w:val="24"/>
              </w:rPr>
              <m:t>Post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t</m:t>
            </m:r>
          </m:sub>
        </m:sSub>
        <m:r>
          <w:rPr>
            <w:rFonts w:ascii="Cambria Math" w:hAnsi="Cambria Math"/>
            <w:sz w:val="24"/>
            <w:szCs w:val="24"/>
          </w:rPr>
          <m:t>)</m:t>
        </m:r>
      </m:oMath>
      <w:r w:rsidRPr="00AD082A">
        <w:rPr>
          <w:sz w:val="24"/>
          <w:szCs w:val="24"/>
        </w:rPr>
        <w:t xml:space="preserve">), além de um vetor de variáveis de controle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it</m:t>
            </m:r>
          </m:sub>
        </m:sSub>
      </m:oMath>
      <w:r w:rsidRPr="00AD082A">
        <w:rPr>
          <w:sz w:val="24"/>
          <w:szCs w:val="24"/>
        </w:rPr>
        <w:t xml:space="preserve">ponderado por </w:t>
      </w:r>
      <m:oMath>
        <m:r>
          <w:rPr>
            <w:rFonts w:ascii="Cambria Math" w:hAnsi="Cambria Math"/>
            <w:sz w:val="24"/>
            <w:szCs w:val="24"/>
          </w:rPr>
          <m:t>γ</m:t>
        </m:r>
      </m:oMath>
      <w:r w:rsidRPr="00AD082A">
        <w:rPr>
          <w:sz w:val="24"/>
          <w:szCs w:val="24"/>
        </w:rPr>
        <w:t xml:space="preserve">, e um termo de erro idiossincrático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ε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it</m:t>
            </m:r>
          </m:sub>
        </m:sSub>
      </m:oMath>
      <w:r w:rsidRPr="00AD082A">
        <w:rPr>
          <w:sz w:val="24"/>
          <w:szCs w:val="24"/>
        </w:rPr>
        <w:t>.</w:t>
      </w:r>
    </w:p>
    <w:p w14:paraId="760D1A18" w14:textId="77777777" w:rsidR="00AD082A" w:rsidRDefault="00AD082A">
      <w:pPr>
        <w:pStyle w:val="MdParagraph"/>
      </w:pPr>
      <w:r w:rsidRPr="00AD082A">
        <w:t xml:space="preserve">Para uma análise mais robusta, o modelo de Diferenças em Diferenças com </w:t>
      </w:r>
      <w:r w:rsidRPr="00AD082A">
        <w:rPr>
          <w:b/>
          <w:bCs/>
        </w:rPr>
        <w:t>efeitos fixos</w:t>
      </w:r>
      <w:r w:rsidRPr="00AD082A">
        <w:t xml:space="preserve"> incorpora controles para características não observáveis específicas de cada unidade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AD082A">
        <w:t>) e para choques comuns a todos os períodos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AD082A">
        <w:t>).</w:t>
      </w:r>
      <w:r>
        <w:t xml:space="preserve"> </w:t>
      </w:r>
    </w:p>
    <w:p w14:paraId="363E5AA8" w14:textId="089277DD" w:rsidR="000A2189" w:rsidRDefault="00AD082A">
      <w:pPr>
        <w:pStyle w:val="MdParagraph"/>
      </w:pPr>
      <w:r w:rsidRPr="00AD082A">
        <w:t xml:space="preserve">Dessa forma, as variáveis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Treated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AD082A">
        <w:t xml:space="preserve">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Post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AD082A">
        <w:t xml:space="preserve">tornam-se desnecessárias, sendo mantida apenas a interação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DiD</m:t>
            </m:r>
          </m:e>
          <m:sub>
            <m:r>
              <w:rPr>
                <w:rFonts w:ascii="Cambria Math" w:hAnsi="Cambria Math"/>
              </w:rPr>
              <m:t>it</m:t>
            </m:r>
          </m:sub>
        </m:sSub>
      </m:oMath>
      <w:r w:rsidRPr="00AD082A">
        <w:t xml:space="preserve">, que captura o </w:t>
      </w:r>
      <w:r w:rsidRPr="00AD082A">
        <w:rPr>
          <w:b/>
          <w:bCs/>
        </w:rPr>
        <w:t>efeito causal do tratamento</w:t>
      </w:r>
      <w:r w:rsidRPr="00AD082A">
        <w:t>.</w:t>
      </w:r>
    </w:p>
    <w:p w14:paraId="1128B62D" w14:textId="77777777" w:rsidR="000A2189" w:rsidRDefault="000A2189">
      <w:pPr>
        <w:pStyle w:val="MdSpace"/>
        <w:spacing w:after="60"/>
      </w:pPr>
    </w:p>
    <w:p w14:paraId="61E19956" w14:textId="0876541C" w:rsidR="000A2189" w:rsidRDefault="00AD082A">
      <w:pPr>
        <w:pStyle w:val="MdParagraph"/>
      </w:pPr>
      <w:r w:rsidRPr="00AD082A">
        <w:rPr>
          <w:sz w:val="18"/>
          <w:szCs w:val="18"/>
        </w:rPr>
        <w:drawing>
          <wp:inline distT="0" distB="0" distL="0" distR="0" wp14:anchorId="3E857962" wp14:editId="1EC3DBC7">
            <wp:extent cx="3794760" cy="259402"/>
            <wp:effectExtent l="0" t="0" r="0" b="7620"/>
            <wp:docPr id="118704497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0449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89453" cy="26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472E7" w14:textId="77777777" w:rsidR="000A2189" w:rsidRDefault="000A2189">
      <w:pPr>
        <w:pStyle w:val="MdSpace"/>
        <w:spacing w:after="60"/>
      </w:pPr>
    </w:p>
    <w:p w14:paraId="5978C8A8" w14:textId="77777777" w:rsidR="000A2189" w:rsidRDefault="00000000">
      <w:pPr>
        <w:pStyle w:val="MdParagraph"/>
      </w:pPr>
      <w:r>
        <w:t>Onde:</w:t>
      </w:r>
    </w:p>
    <w:p w14:paraId="7B01339C" w14:textId="4773E016" w:rsidR="00AD082A" w:rsidRPr="00AD082A" w:rsidRDefault="00AD082A" w:rsidP="00AD082A">
      <w:pPr>
        <w:pStyle w:val="MdListItem"/>
        <w:ind w:left="360" w:firstLine="0"/>
      </w:pPr>
      <w:r w:rsidRPr="00AD082A">
        <w:t xml:space="preserve">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AD082A">
        <w:t>: intercepto (média base);</w:t>
      </w:r>
    </w:p>
    <w:p w14:paraId="7825E014" w14:textId="43689544" w:rsidR="00AD082A" w:rsidRPr="00AD082A" w:rsidRDefault="00AD082A" w:rsidP="00AD082A">
      <w:pPr>
        <w:pStyle w:val="MdListItem"/>
        <w:ind w:left="360" w:firstLine="0"/>
      </w:pPr>
      <w:r w:rsidRPr="00AD082A">
        <w:t xml:space="preserve">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Pr="00AD082A">
        <w:t xml:space="preserve">: coeficiente de interesse — mede o </w:t>
      </w:r>
      <w:r w:rsidRPr="00AD082A">
        <w:rPr>
          <w:b/>
          <w:bCs/>
        </w:rPr>
        <w:t>efeito médio do tratamento</w:t>
      </w:r>
      <w:r w:rsidRPr="00AD082A">
        <w:t xml:space="preserve"> sobre a criminalidade;</w:t>
      </w:r>
    </w:p>
    <w:p w14:paraId="60125B92" w14:textId="2D481797" w:rsidR="00AD082A" w:rsidRPr="00AD082A" w:rsidRDefault="00AD082A" w:rsidP="00AD082A">
      <w:pPr>
        <w:pStyle w:val="MdListItem"/>
        <w:ind w:left="360" w:firstLine="0"/>
      </w:pPr>
      <w:r w:rsidRPr="00AD082A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it</m:t>
            </m:r>
          </m:sub>
        </m:sSub>
      </m:oMath>
      <w:r w:rsidRPr="00AD082A">
        <w:t xml:space="preserve">: vetor de controles observáveis (ex.: renda per capita, proporção </w:t>
      </w:r>
      <w:proofErr w:type="gramStart"/>
      <w:r w:rsidRPr="00AD082A">
        <w:t>feminina, etc.</w:t>
      </w:r>
      <w:proofErr w:type="gramEnd"/>
      <w:r w:rsidRPr="00AD082A">
        <w:t>);</w:t>
      </w:r>
    </w:p>
    <w:p w14:paraId="3B4FD711" w14:textId="290F929B" w:rsidR="00AD082A" w:rsidRPr="00AD082A" w:rsidRDefault="00AD082A" w:rsidP="00AD082A">
      <w:pPr>
        <w:pStyle w:val="MdListItem"/>
        <w:ind w:left="360" w:firstLine="0"/>
      </w:pPr>
      <w:r w:rsidRPr="00AD082A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AD082A">
        <w:t xml:space="preserve">: </w:t>
      </w:r>
      <w:r w:rsidRPr="00AD082A">
        <w:rPr>
          <w:b/>
          <w:bCs/>
        </w:rPr>
        <w:t>efeitos fixos de área</w:t>
      </w:r>
      <w:r w:rsidRPr="00AD082A">
        <w:t xml:space="preserve"> (características invariantes no tempo de cada município);</w:t>
      </w:r>
    </w:p>
    <w:p w14:paraId="00FA77A7" w14:textId="7C20C9DC" w:rsidR="00AD082A" w:rsidRPr="00AD082A" w:rsidRDefault="00AD082A" w:rsidP="00AD082A">
      <w:pPr>
        <w:pStyle w:val="MdListItem"/>
        <w:ind w:left="360" w:firstLine="0"/>
      </w:pPr>
      <w:r w:rsidRPr="00AD082A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AD082A">
        <w:t xml:space="preserve">: </w:t>
      </w:r>
      <w:r w:rsidRPr="00AD082A">
        <w:rPr>
          <w:b/>
          <w:bCs/>
        </w:rPr>
        <w:t>efeitos fixos de tempo</w:t>
      </w:r>
      <w:r w:rsidRPr="00AD082A">
        <w:t xml:space="preserve"> (choques ou tendências comuns a todos os municípios em cada período);</w:t>
      </w:r>
    </w:p>
    <w:p w14:paraId="5FF24076" w14:textId="1EA77567" w:rsidR="000A2189" w:rsidRDefault="00AD082A" w:rsidP="00AD082A">
      <w:pPr>
        <w:pStyle w:val="MdListItem"/>
        <w:ind w:left="360" w:firstLine="0"/>
      </w:pPr>
      <w:r w:rsidRPr="00AD082A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ε</m:t>
            </m:r>
          </m:e>
          <m:sub>
            <m:r>
              <w:rPr>
                <w:rFonts w:ascii="Cambria Math" w:hAnsi="Cambria Math"/>
              </w:rPr>
              <m:t>it</m:t>
            </m:r>
          </m:sub>
        </m:sSub>
      </m:oMath>
      <w:r w:rsidRPr="00AD082A">
        <w:t xml:space="preserve">: termo de erro </w:t>
      </w:r>
      <w:proofErr w:type="gramStart"/>
      <w:r w:rsidRPr="00AD082A">
        <w:t>idiossincrático</w:t>
      </w:r>
      <w:proofErr w:type="gramEnd"/>
      <w:r w:rsidRPr="00AD082A">
        <w:t>.</w:t>
      </w:r>
    </w:p>
    <w:sectPr w:rsidR="000A2189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FB24C7"/>
    <w:multiLevelType w:val="hybridMultilevel"/>
    <w:tmpl w:val="206AE260"/>
    <w:lvl w:ilvl="0" w:tplc="26E6B20E">
      <w:start w:val="1"/>
      <w:numFmt w:val="bullet"/>
      <w:lvlText w:val="•"/>
      <w:lvlJc w:val="left"/>
      <w:pPr>
        <w:ind w:left="720" w:hanging="360"/>
      </w:pPr>
    </w:lvl>
    <w:lvl w:ilvl="1" w:tplc="4B56B14A">
      <w:start w:val="1"/>
      <w:numFmt w:val="bullet"/>
      <w:lvlText w:val="◦"/>
      <w:lvlJc w:val="left"/>
      <w:pPr>
        <w:ind w:left="1440" w:hanging="360"/>
      </w:pPr>
    </w:lvl>
    <w:lvl w:ilvl="2" w:tplc="DEBA4A56">
      <w:start w:val="1"/>
      <w:numFmt w:val="bullet"/>
      <w:lvlText w:val="•"/>
      <w:lvlJc w:val="left"/>
      <w:pPr>
        <w:ind w:left="2160" w:hanging="360"/>
      </w:pPr>
    </w:lvl>
    <w:lvl w:ilvl="3" w:tplc="5AE8FDEA">
      <w:start w:val="1"/>
      <w:numFmt w:val="bullet"/>
      <w:lvlText w:val="◦"/>
      <w:lvlJc w:val="left"/>
      <w:pPr>
        <w:ind w:left="2880" w:hanging="360"/>
      </w:pPr>
    </w:lvl>
    <w:lvl w:ilvl="4" w:tplc="C22C921C">
      <w:start w:val="1"/>
      <w:numFmt w:val="bullet"/>
      <w:lvlText w:val="•"/>
      <w:lvlJc w:val="left"/>
      <w:pPr>
        <w:ind w:left="3600" w:hanging="360"/>
      </w:pPr>
    </w:lvl>
    <w:lvl w:ilvl="5" w:tplc="BE2E61FE">
      <w:start w:val="1"/>
      <w:numFmt w:val="bullet"/>
      <w:lvlText w:val="◦"/>
      <w:lvlJc w:val="left"/>
      <w:pPr>
        <w:ind w:left="4320" w:hanging="360"/>
      </w:pPr>
    </w:lvl>
    <w:lvl w:ilvl="6" w:tplc="BCFED2A4">
      <w:start w:val="1"/>
      <w:numFmt w:val="bullet"/>
      <w:lvlText w:val="•"/>
      <w:lvlJc w:val="left"/>
      <w:pPr>
        <w:ind w:left="5040" w:hanging="360"/>
      </w:pPr>
    </w:lvl>
    <w:lvl w:ilvl="7" w:tplc="66460BBE">
      <w:numFmt w:val="decimal"/>
      <w:lvlText w:val=""/>
      <w:lvlJc w:val="left"/>
    </w:lvl>
    <w:lvl w:ilvl="8" w:tplc="DBD63ECA">
      <w:numFmt w:val="decimal"/>
      <w:lvlText w:val=""/>
      <w:lvlJc w:val="left"/>
    </w:lvl>
  </w:abstractNum>
  <w:abstractNum w:abstractNumId="1" w15:restartNumberingAfterBreak="0">
    <w:nsid w:val="64277F80"/>
    <w:multiLevelType w:val="multilevel"/>
    <w:tmpl w:val="7E8E9B88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2" w15:restartNumberingAfterBreak="0">
    <w:nsid w:val="67CC3F50"/>
    <w:multiLevelType w:val="hybridMultilevel"/>
    <w:tmpl w:val="53068DB8"/>
    <w:lvl w:ilvl="0" w:tplc="663EE0F4">
      <w:start w:val="1"/>
      <w:numFmt w:val="bullet"/>
      <w:lvlText w:val="●"/>
      <w:lvlJc w:val="left"/>
      <w:pPr>
        <w:ind w:left="720" w:hanging="360"/>
      </w:pPr>
    </w:lvl>
    <w:lvl w:ilvl="1" w:tplc="77E63542">
      <w:start w:val="1"/>
      <w:numFmt w:val="bullet"/>
      <w:lvlText w:val="○"/>
      <w:lvlJc w:val="left"/>
      <w:pPr>
        <w:ind w:left="1440" w:hanging="360"/>
      </w:pPr>
    </w:lvl>
    <w:lvl w:ilvl="2" w:tplc="8B0CB34C">
      <w:start w:val="1"/>
      <w:numFmt w:val="bullet"/>
      <w:lvlText w:val="■"/>
      <w:lvlJc w:val="left"/>
      <w:pPr>
        <w:ind w:left="2160" w:hanging="360"/>
      </w:pPr>
    </w:lvl>
    <w:lvl w:ilvl="3" w:tplc="EDD8FA8E">
      <w:start w:val="1"/>
      <w:numFmt w:val="bullet"/>
      <w:lvlText w:val="●"/>
      <w:lvlJc w:val="left"/>
      <w:pPr>
        <w:ind w:left="2880" w:hanging="360"/>
      </w:pPr>
    </w:lvl>
    <w:lvl w:ilvl="4" w:tplc="9CBA086C">
      <w:start w:val="1"/>
      <w:numFmt w:val="bullet"/>
      <w:lvlText w:val="○"/>
      <w:lvlJc w:val="left"/>
      <w:pPr>
        <w:ind w:left="3600" w:hanging="360"/>
      </w:pPr>
    </w:lvl>
    <w:lvl w:ilvl="5" w:tplc="724A1096">
      <w:start w:val="1"/>
      <w:numFmt w:val="bullet"/>
      <w:lvlText w:val="■"/>
      <w:lvlJc w:val="left"/>
      <w:pPr>
        <w:ind w:left="4320" w:hanging="360"/>
      </w:pPr>
    </w:lvl>
    <w:lvl w:ilvl="6" w:tplc="94DEAF3E">
      <w:start w:val="1"/>
      <w:numFmt w:val="bullet"/>
      <w:lvlText w:val="●"/>
      <w:lvlJc w:val="left"/>
      <w:pPr>
        <w:ind w:left="5040" w:hanging="360"/>
      </w:pPr>
    </w:lvl>
    <w:lvl w:ilvl="7" w:tplc="86A60AE4">
      <w:start w:val="1"/>
      <w:numFmt w:val="bullet"/>
      <w:lvlText w:val="●"/>
      <w:lvlJc w:val="left"/>
      <w:pPr>
        <w:ind w:left="5760" w:hanging="360"/>
      </w:pPr>
    </w:lvl>
    <w:lvl w:ilvl="8" w:tplc="1BBA0176">
      <w:start w:val="1"/>
      <w:numFmt w:val="bullet"/>
      <w:lvlText w:val="●"/>
      <w:lvlJc w:val="left"/>
      <w:pPr>
        <w:ind w:left="6480" w:hanging="360"/>
      </w:pPr>
    </w:lvl>
  </w:abstractNum>
  <w:num w:numId="1" w16cid:durableId="2123958991">
    <w:abstractNumId w:val="2"/>
    <w:lvlOverride w:ilvl="0">
      <w:startOverride w:val="1"/>
    </w:lvlOverride>
  </w:num>
  <w:num w:numId="2" w16cid:durableId="1804425483">
    <w:abstractNumId w:val="1"/>
    <w:lvlOverride w:ilvl="0">
      <w:startOverride w:val="1"/>
    </w:lvlOverride>
  </w:num>
  <w:num w:numId="3" w16cid:durableId="600261996">
    <w:abstractNumId w:val="0"/>
    <w:lvlOverride w:ilvl="0">
      <w:startOverride w:val="1"/>
    </w:lvlOverride>
  </w:num>
  <w:num w:numId="4" w16cid:durableId="2333947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2189"/>
    <w:rsid w:val="000A2189"/>
    <w:rsid w:val="001F5EF1"/>
    <w:rsid w:val="004F0EAD"/>
    <w:rsid w:val="00AD0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052707"/>
  <w15:docId w15:val="{4D704D6B-8D8D-4FCA-8404-AE07753EDD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 w:color="0563C1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paragraph" w:customStyle="1" w:styleId="MdSpace">
    <w:name w:val="MdSpace"/>
    <w:qFormat/>
    <w:rPr>
      <w:sz w:val="12"/>
      <w:szCs w:val="12"/>
    </w:rPr>
  </w:style>
  <w:style w:type="paragraph" w:customStyle="1" w:styleId="MdCode">
    <w:name w:val="MdCode"/>
    <w:qFormat/>
    <w:pPr>
      <w:pBdr>
        <w:top w:val="single" w:sz="1" w:space="8" w:color="A5A5A5"/>
        <w:left w:val="single" w:sz="1" w:space="8" w:color="A5A5A5"/>
        <w:bottom w:val="single" w:sz="1" w:space="8" w:color="A5A5A5"/>
        <w:right w:val="single" w:sz="1" w:space="8" w:color="A5A5A5"/>
      </w:pBdr>
      <w:spacing w:before="200" w:after="200"/>
    </w:pPr>
    <w:rPr>
      <w:rFonts w:ascii="Courier New" w:eastAsia="Courier New" w:hAnsi="Courier New" w:cs="Courier New"/>
      <w:color w:val="70AD47"/>
      <w:sz w:val="22"/>
      <w:szCs w:val="22"/>
    </w:rPr>
  </w:style>
  <w:style w:type="paragraph" w:customStyle="1" w:styleId="MdHr">
    <w:name w:val="MdHr"/>
    <w:qFormat/>
    <w:pPr>
      <w:pBdr>
        <w:bottom w:val="single" w:sz="1" w:space="1" w:color="A5A5A5"/>
      </w:pBdr>
      <w:spacing w:before="240" w:after="240"/>
    </w:pPr>
  </w:style>
  <w:style w:type="paragraph" w:customStyle="1" w:styleId="MdBlockquote">
    <w:name w:val="MdBlockquote"/>
    <w:qFormat/>
    <w:pPr>
      <w:pBdr>
        <w:left w:val="single" w:sz="20" w:space="12" w:color="A5A5A5"/>
      </w:pBdr>
      <w:spacing w:before="200" w:after="200"/>
      <w:ind w:left="360"/>
    </w:pPr>
    <w:rPr>
      <w:i/>
      <w:iCs/>
      <w:color w:val="666666"/>
    </w:rPr>
  </w:style>
  <w:style w:type="paragraph" w:customStyle="1" w:styleId="MdHtml">
    <w:name w:val="MdHtml"/>
    <w:qFormat/>
    <w:rPr>
      <w:rFonts w:ascii="Courier New" w:eastAsia="Courier New" w:hAnsi="Courier New" w:cs="Courier New"/>
      <w:color w:val="ED7D31"/>
    </w:rPr>
  </w:style>
  <w:style w:type="paragraph" w:customStyle="1" w:styleId="MdDef">
    <w:name w:val="MdDef"/>
    <w:qFormat/>
    <w:pPr>
      <w:ind w:left="720" w:hanging="360"/>
    </w:pPr>
  </w:style>
  <w:style w:type="paragraph" w:customStyle="1" w:styleId="MdParagraph">
    <w:name w:val="MdParagraph"/>
    <w:qFormat/>
    <w:pPr>
      <w:spacing w:before="120" w:after="120"/>
    </w:pPr>
  </w:style>
  <w:style w:type="paragraph" w:customStyle="1" w:styleId="MdText">
    <w:name w:val="MdText"/>
    <w:qFormat/>
  </w:style>
  <w:style w:type="paragraph" w:customStyle="1" w:styleId="MdFootnote">
    <w:name w:val="MdFootnote"/>
    <w:qFormat/>
    <w:rPr>
      <w:vertAlign w:val="superscript"/>
    </w:rPr>
  </w:style>
  <w:style w:type="paragraph" w:customStyle="1" w:styleId="MdListItem">
    <w:name w:val="MdListItem"/>
    <w:qFormat/>
    <w:pPr>
      <w:spacing w:before="60" w:after="60"/>
      <w:ind w:left="720" w:hanging="360"/>
    </w:pPr>
  </w:style>
  <w:style w:type="paragraph" w:customStyle="1" w:styleId="MdTable">
    <w:name w:val="MdTable"/>
    <w:qFormat/>
    <w:pPr>
      <w:spacing w:before="60" w:after="60"/>
    </w:pPr>
  </w:style>
  <w:style w:type="paragraph" w:customStyle="1" w:styleId="MdTableHeader">
    <w:name w:val="MdTableHeader"/>
    <w:qFormat/>
    <w:pPr>
      <w:spacing w:before="60" w:after="60"/>
    </w:pPr>
    <w:rPr>
      <w:b/>
      <w:bCs/>
      <w:sz w:val="22"/>
      <w:szCs w:val="22"/>
    </w:rPr>
  </w:style>
  <w:style w:type="paragraph" w:customStyle="1" w:styleId="MdTableCell">
    <w:name w:val="MdTableCell"/>
    <w:qFormat/>
    <w:pPr>
      <w:spacing w:before="40" w:after="40"/>
    </w:pPr>
    <w:rPr>
      <w:sz w:val="20"/>
      <w:szCs w:val="20"/>
    </w:rPr>
  </w:style>
  <w:style w:type="paragraph" w:customStyle="1" w:styleId="MdHeading1">
    <w:name w:val="MdHeading1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customStyle="1" w:styleId="MdHeading2">
    <w:name w:val="MdHeading2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customStyle="1" w:styleId="MdHeading3">
    <w:name w:val="MdHeading3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customStyle="1" w:styleId="MdHeading4">
    <w:name w:val="MdHeading4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customStyle="1" w:styleId="MdHeading5">
    <w:name w:val="MdHeading5"/>
    <w:qFormat/>
    <w:pPr>
      <w:keepNext/>
      <w:spacing w:before="240" w:after="120"/>
      <w:outlineLvl w:val="4"/>
    </w:pPr>
    <w:rPr>
      <w:b/>
      <w:bCs/>
      <w:i/>
      <w:iCs/>
    </w:rPr>
  </w:style>
  <w:style w:type="paragraph" w:customStyle="1" w:styleId="MdHeading6">
    <w:name w:val="MdHeading6"/>
    <w:qFormat/>
    <w:pPr>
      <w:keepNext/>
      <w:spacing w:before="240" w:after="120"/>
      <w:outlineLvl w:val="5"/>
    </w:pPr>
    <w:rPr>
      <w:i/>
      <w:iCs/>
    </w:rPr>
  </w:style>
  <w:style w:type="character" w:customStyle="1" w:styleId="MdTag">
    <w:name w:val="MdTag"/>
    <w:uiPriority w:val="99"/>
    <w:unhideWhenUsed/>
    <w:qFormat/>
    <w:rPr>
      <w:rFonts w:ascii="Courier New" w:eastAsia="Courier New" w:hAnsi="Courier New" w:cs="Courier New"/>
      <w:color w:val="ED7D31"/>
    </w:rPr>
  </w:style>
  <w:style w:type="character" w:customStyle="1" w:styleId="MdLink">
    <w:name w:val="MdLink"/>
    <w:uiPriority w:val="99"/>
    <w:unhideWhenUsed/>
    <w:qFormat/>
    <w:rPr>
      <w:color w:val="0563C1"/>
      <w:u w:val="single"/>
    </w:rPr>
  </w:style>
  <w:style w:type="character" w:customStyle="1" w:styleId="MdStrong">
    <w:name w:val="MdStrong"/>
    <w:uiPriority w:val="99"/>
    <w:unhideWhenUsed/>
    <w:qFormat/>
    <w:rPr>
      <w:b/>
      <w:bCs/>
    </w:rPr>
  </w:style>
  <w:style w:type="character" w:customStyle="1" w:styleId="MdEm">
    <w:name w:val="MdEm"/>
    <w:uiPriority w:val="99"/>
    <w:unhideWhenUsed/>
    <w:qFormat/>
    <w:rPr>
      <w:i/>
      <w:iCs/>
    </w:rPr>
  </w:style>
  <w:style w:type="character" w:customStyle="1" w:styleId="MdCodespan">
    <w:name w:val="MdCodespan"/>
    <w:uiPriority w:val="99"/>
    <w:unhideWhenUsed/>
    <w:qFormat/>
    <w:rPr>
      <w:rFonts w:ascii="Courier New" w:eastAsia="Courier New" w:hAnsi="Courier New" w:cs="Courier New"/>
      <w:color w:val="70AD47"/>
    </w:rPr>
  </w:style>
  <w:style w:type="character" w:customStyle="1" w:styleId="MdDel">
    <w:name w:val="MdDel"/>
    <w:uiPriority w:val="99"/>
    <w:unhideWhenUsed/>
    <w:qFormat/>
    <w:rPr>
      <w:strike/>
    </w:rPr>
  </w:style>
  <w:style w:type="character" w:customStyle="1" w:styleId="MdBr">
    <w:name w:val="MdBr"/>
    <w:uiPriority w:val="99"/>
    <w:unhideWhenUsed/>
    <w:qFormat/>
  </w:style>
  <w:style w:type="paragraph" w:styleId="NormalWeb">
    <w:name w:val="Normal (Web)"/>
    <w:basedOn w:val="Normal"/>
    <w:uiPriority w:val="99"/>
    <w:semiHidden/>
    <w:unhideWhenUsed/>
    <w:rsid w:val="00AD08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576</Words>
  <Characters>3113</Characters>
  <Application>Microsoft Office Word</Application>
  <DocSecurity>0</DocSecurity>
  <Lines>25</Lines>
  <Paragraphs>7</Paragraphs>
  <ScaleCrop>false</ScaleCrop>
  <Company/>
  <LinksUpToDate>false</LinksUpToDate>
  <CharactersWithSpaces>3682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Cleiton Franco</cp:lastModifiedBy>
  <cp:revision>4</cp:revision>
  <dcterms:created xsi:type="dcterms:W3CDTF">2025-11-12T17:21:00Z</dcterms:created>
  <dcterms:modified xsi:type="dcterms:W3CDTF">2025-11-12T17:27:00Z</dcterms:modified>
</cp:coreProperties>
</file>