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/>
      </w:pPr>
      <w:r>
        <w:t xml:space="preserve">Plásticos Vale do Teles Pires — Custeio por Absorção</w:t>
      </w:r>
    </w:p>
    <w:p>
      <w:pPr>
        <w:spacing w:after="300"/>
      </w:pPr>
      <w:r>
        <w:rPr>
          <w:i/>
          <w:iCs/>
          <w:color w:val="555555"/>
        </w:rPr>
        <w:t xml:space="preserve">Rateio de custos indiretos de produção por volume × por número de trocas de molde, custo unitário e DRE</w:t>
      </w:r>
    </w:p>
    <w:p>
      <w:pPr>
        <w:pStyle w:val="Heading1"/>
        <w:spacing w:after="150" w:before="300"/>
      </w:pPr>
      <w:r>
        <w:t xml:space="preserve">Enunciado</w:t>
      </w:r>
    </w:p>
    <w:p>
      <w:pPr>
        <w:spacing w:after="120"/>
      </w:pPr>
      <w:r>
        <w:t>A Plásticos Vale do Teles Pires Ltda., indústria de injeção plástica instalada em Sinop (MT), fabrica embalagens plásticas para o agronegócio e para a indústria de alimentos: baldes de 20 litros, potes de 500 ml e frascos de 250 ml. Cada produto é fabricado em um molde próprio (já totalmente depreciado), montado sobre uma base porta-moldes comum, na mesma injetora. Trocar de produto exige parar a máquina, retirar o molde atual, instalar o novo molde e recalibrar o processo — uma operação chamada "troca de molde" (setup) — e os três produtos são fabricados em lotes ao longo do ano, com números de trocas de molde bem diferentes entre si. Estima-se que a fábrica permanecerá em operação por longo prazo. No último ano, foram produzidas e vendidas 200.000 unidades de baldes, 500.000 unidades de potes e 300.000 unidades de frascos, sem formação de estoque final de produtos acabados. A controladoria da empresa apura seus resultados pelo custeio por absorção, alocando todos os custos de produção (diretos e indiretos) aos produtos.</w:t>
      </w:r>
    </w:p>
    <w:p>
      <w:pPr>
        <w:pStyle w:val="Heading1"/>
        <w:spacing w:after="150" w:before="300"/>
      </w:pPr>
      <w:r>
        <w:t xml:space="preserve">Dados — Gastos incorridos no ano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</w:rPr>
              <w:t xml:space="preserve">Item</w:t>
            </w:r>
          </w:p>
        </w:tc>
        <w:tc>
          <w:tcPr>
            <w:tcW w:type="dxa" w:w="468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</w:rPr>
              <w:t xml:space="preserve">Valor ($)</w:t>
            </w:r>
          </w:p>
        </w:tc>
      </w:tr>
      <w:tr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Resina plástica — Baldes (200.000 un. × $ 3,80)</w:t>
            </w:r>
          </w:p>
        </w:tc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760.000,00</w:t>
            </w:r>
          </w:p>
        </w:tc>
      </w:tr>
      <w:tr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Resina plástica — Potes (500.000 un. × $ 0,45)</w:t>
            </w:r>
          </w:p>
        </w:tc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225.000,00</w:t>
            </w:r>
          </w:p>
        </w:tc>
      </w:tr>
      <w:tr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Resina plástica — Frascos (300.000 un. × $ 0,30)</w:t>
            </w:r>
          </w:p>
        </w:tc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90.000,00</w:t>
            </w:r>
          </w:p>
        </w:tc>
      </w:tr>
      <w:tr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Mão de obra direta (MOD) — Baldes (200.000 un. × $ 0,60)</w:t>
            </w:r>
          </w:p>
        </w:tc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120.000,00</w:t>
            </w:r>
          </w:p>
        </w:tc>
      </w:tr>
      <w:tr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Mão de obra direta (MOD) — Potes (500.000 un. × $ 0,12)</w:t>
            </w:r>
          </w:p>
        </w:tc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60.000,00</w:t>
            </w:r>
          </w:p>
        </w:tc>
      </w:tr>
      <w:tr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Mão de obra direta (MOD) — Frascos (300.000 un. × $ 0,09)</w:t>
            </w:r>
          </w:p>
        </w:tc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27.000,00</w:t>
            </w:r>
          </w:p>
        </w:tc>
      </w:tr>
      <w:tr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Energia elétrica de injeção — Baldes (200.000 un. × $ 0,35)</w:t>
            </w:r>
          </w:p>
        </w:tc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70.000,00</w:t>
            </w:r>
          </w:p>
        </w:tc>
      </w:tr>
      <w:tr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Energia elétrica de injeção — Potes (500.000 un. × $ 0,08)</w:t>
            </w:r>
          </w:p>
        </w:tc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40.000,00</w:t>
            </w:r>
          </w:p>
        </w:tc>
      </w:tr>
      <w:tr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Energia elétrica de injeção — Frascos (300.000 un. × $ 0,06)</w:t>
            </w:r>
          </w:p>
        </w:tc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18.000,00</w:t>
            </w:r>
          </w:p>
        </w:tc>
      </w:tr>
      <w:tr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Custo de setup (troca de molde) — Baldes (20 trocas × $ 420,00)</w:t>
            </w:r>
          </w:p>
        </w:tc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8.400,00</w:t>
            </w:r>
          </w:p>
        </w:tc>
      </w:tr>
      <w:tr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Custo de setup (troca de molde) — Potes (10 trocas × $ 180,00)</w:t>
            </w:r>
          </w:p>
        </w:tc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1.800,00</w:t>
            </w:r>
          </w:p>
        </w:tc>
      </w:tr>
      <w:tr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Custo de setup (troca de molde) — Frascos (20 trocas × $ 150,00)</w:t>
            </w:r>
          </w:p>
        </w:tc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3.000,00</w:t>
            </w:r>
          </w:p>
        </w:tc>
      </w:tr>
      <w:tr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Aluguel do galpão industrial</w:t>
            </w:r>
          </w:p>
        </w:tc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120.000,00</w:t>
            </w:r>
          </w:p>
        </w:tc>
      </w:tr>
      <w:tr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>Depreciação das máquinas injetoras (equipamento $ 900.000, vida útil 10 anos, taxa de depreciação de 10% a.a.)</w:t>
            </w:r>
          </w:p>
        </w:tc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90.000,00</w:t>
            </w:r>
          </w:p>
        </w:tc>
      </w:tr>
      <w:tr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>Depreciação da base porta-moldes e do sistema de refrigeração, comuns aos três moldes (equipamento $ 300.000, vida útil 10 anos, taxa de depreciação de 10% a.a.)</w:t>
            </w:r>
          </w:p>
        </w:tc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30.000,00</w:t>
            </w:r>
          </w:p>
        </w:tc>
      </w:tr>
      <w:tr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Supervisão de produção (salários e encargos)</w:t>
            </w:r>
          </w:p>
        </w:tc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90.000,00</w:t>
            </w:r>
          </w:p>
        </w:tc>
      </w:tr>
      <w:tr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Aluguel do escritório administrativo</w:t>
            </w:r>
          </w:p>
        </w:tc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40.000,00</w:t>
            </w:r>
          </w:p>
        </w:tc>
      </w:tr>
      <w:tr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Salários e encargos do pessoal administrativo</w:t>
            </w:r>
          </w:p>
        </w:tc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70.000,00</w:t>
            </w:r>
          </w:p>
        </w:tc>
      </w:tr>
      <w:tr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>Depreciação de móveis e computadores administrativos (equipamento $ 40.000, vida útil 10 anos, taxa de depreciação de 10% a.a.)</w:t>
            </w:r>
          </w:p>
        </w:tc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4.000,00</w:t>
            </w:r>
          </w:p>
        </w:tc>
      </w:tr>
      <w:tr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Salário e encargos do gerente comercial</w:t>
            </w:r>
          </w:p>
        </w:tc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55.000,00</w:t>
            </w:r>
          </w:p>
        </w:tc>
      </w:tr>
    </w:tbl>
    <w:p>
      <w:pPr>
        <w:pBdr>
          <w:left w:val="single" w:color="4472C4" w:sz="18" w:space="8"/>
        </w:pBdr>
        <w:shd w:fill="EEF2FB" w:val="clear"/>
        <w:spacing w:after="200" w:before="100"/>
      </w:pPr>
      <w:r>
        <w:rPr>
          <w:i/>
          <w:iCs/>
        </w:rPr>
        <w:t>Observação: a resina, a MOD e a energia de injeção já estão apresentadas como o total anual consumido por cada produto. O custo de setup (troca de molde) também é diretamente atribuível a cada produto — cada um sabe exatamente quantas trocas de molde precisou ao longo do ano — mas seu total no ano depende do número de lotes de produção, não do volume produzido, por isso é chamado de custo direto "fixo por lote". Já o aluguel do galpão, a depreciação das injetoras e da base porta-moldes, e a supervisão beneficiam os três produtos ao mesmo tempo e precisam ser rateados.</w:t>
      </w:r>
    </w:p>
    <w:p>
      <w:pPr>
        <w:pStyle w:val="Heading1"/>
        <w:spacing w:after="150" w:before="300"/>
      </w:pPr>
      <w:r>
        <w:t xml:space="preserve">Dados — Volume, número de trocas de molde e preço de venda por produto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</w:rPr>
              <w:t xml:space="preserve">Produto</w:t>
            </w:r>
          </w:p>
        </w:tc>
        <w:tc>
          <w:tcPr>
            <w:tcW w:type="dxa" w:w="234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</w:rPr>
              <w:t xml:space="preserve">Volume (un./ano)</w:t>
            </w:r>
          </w:p>
        </w:tc>
        <w:tc>
          <w:tcPr>
            <w:tcW w:type="dxa" w:w="234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</w:rPr>
              <w:t xml:space="preserve">Trocas de molde no ano</w:t>
            </w:r>
          </w:p>
        </w:tc>
        <w:tc>
          <w:tcPr>
            <w:tcW w:type="dxa" w:w="234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</w:rPr>
              <w:t xml:space="preserve">Preço de venda ($/unidade)</w:t>
            </w:r>
          </w:p>
        </w:tc>
      </w:tr>
      <w:tr>
        <w:tc>
          <w:tcPr>
            <w:tcW w:type="dxa" w:w="23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Baldes 20L</w:t>
            </w:r>
          </w:p>
        </w:tc>
        <w:tc>
          <w:tcPr>
            <w:tcW w:type="dxa" w:w="23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200.000</w:t>
            </w:r>
          </w:p>
        </w:tc>
        <w:tc>
          <w:tcPr>
            <w:tcW w:type="dxa" w:w="23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20</w:t>
            </w:r>
          </w:p>
        </w:tc>
        <w:tc>
          <w:tcPr>
            <w:tcW w:type="dxa" w:w="23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$ 8,50</w:t>
            </w:r>
          </w:p>
        </w:tc>
      </w:tr>
      <w:tr>
        <w:tc>
          <w:tcPr>
            <w:tcW w:type="dxa" w:w="23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Potes 500ml</w:t>
            </w:r>
          </w:p>
        </w:tc>
        <w:tc>
          <w:tcPr>
            <w:tcW w:type="dxa" w:w="23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500.000</w:t>
            </w:r>
          </w:p>
        </w:tc>
        <w:tc>
          <w:tcPr>
            <w:tcW w:type="dxa" w:w="23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10</w:t>
            </w:r>
          </w:p>
        </w:tc>
        <w:tc>
          <w:tcPr>
            <w:tcW w:type="dxa" w:w="23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$ 1,20</w:t>
            </w:r>
          </w:p>
        </w:tc>
      </w:tr>
      <w:tr>
        <w:tc>
          <w:tcPr>
            <w:tcW w:type="dxa" w:w="23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Frascos 250ml</w:t>
            </w:r>
          </w:p>
        </w:tc>
        <w:tc>
          <w:tcPr>
            <w:tcW w:type="dxa" w:w="23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300.000</w:t>
            </w:r>
          </w:p>
        </w:tc>
        <w:tc>
          <w:tcPr>
            <w:tcW w:type="dxa" w:w="23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20</w:t>
            </w:r>
          </w:p>
        </w:tc>
        <w:tc>
          <w:tcPr>
            <w:tcW w:type="dxa" w:w="23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$ 0,90</w:t>
            </w:r>
          </w:p>
        </w:tc>
      </w:tr>
    </w:tbl>
    <w:p>
      <w:pPr>
        <w:pStyle w:val="Heading1"/>
        <w:spacing w:after="150" w:before="300"/>
      </w:pPr>
      <w:r>
        <w:t xml:space="preserve">Dados — Despesas de venda por produto (despesas do período)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</w:rPr>
              <w:t xml:space="preserve">Produto</w:t>
            </w:r>
          </w:p>
        </w:tc>
        <w:tc>
          <w:tcPr>
            <w:tcW w:type="dxa" w:w="312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</w:rPr>
              <w:t xml:space="preserve">Comissão de vendas (%)</w:t>
            </w:r>
          </w:p>
        </w:tc>
        <w:tc>
          <w:tcPr>
            <w:tcW w:type="dxa" w:w="312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</w:rPr>
              <w:t xml:space="preserve">Frete ($/unidade)</w:t>
            </w:r>
          </w:p>
        </w:tc>
      </w:tr>
      <w:t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Baldes 20L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4,0%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$ 0,25</w:t>
            </w:r>
          </w:p>
        </w:tc>
      </w:tr>
      <w:t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Potes 500ml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4,0%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$ 0,03</w:t>
            </w:r>
          </w:p>
        </w:tc>
      </w:tr>
      <w:t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Frascos 250ml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4,0%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$ 0,02</w:t>
            </w:r>
          </w:p>
        </w:tc>
      </w:tr>
    </w:tbl>
    <w:p>
      <w:pPr>
        <w:pStyle w:val="Heading1"/>
        <w:spacing w:after="150" w:before="300"/>
      </w:pPr>
      <w:r>
        <w:t xml:space="preserve">Perguntas</w:t>
      </w:r>
    </w:p>
    <w:p>
      <w:pPr>
        <w:spacing w:after="120"/>
      </w:pPr>
      <w:r>
        <w:t xml:space="preserve">a) Classifique cada gasto da fábrica em custo direto de produção, custo indireto de produção (a ratear entre os produtos) ou despesa do período. Calcule o custo direto de produção total e unitário de cada produto (incluindo o custo de setup atribuível a cada um).</w:t>
      </w:r>
    </w:p>
    <w:p>
      <w:pPr>
        <w:spacing w:after="120"/>
      </w:pPr>
      <w:r>
        <w:t>b) Os custos indiretos de produção (aluguel do galpão, depreciação das injetoras e da base porta-moldes, e supervisão) precisam ser rateados entre os três produtos. Faça o rateio proporcionalmente ao volume produzido de cada um e calcule o custo de produção total (direto + indireto) e o custo unitário de cada produto pelo custeio por absorção.</w:t>
      </w:r>
    </w:p>
    <w:p>
      <w:pPr>
        <w:spacing w:after="120"/>
      </w:pPr>
      <w:r>
        <w:t>c) Monte a Demonstração do Resultado (DRE) pelo custeio por absorção, por produto e total — receita, custo dos produtos vendidos (CPV), lucro bruto, despesas do período e resultado — usando o rateio da letra b.</w:t>
      </w:r>
    </w:p>
    <w:p>
      <w:pPr>
        <w:spacing w:after="120"/>
      </w:pPr>
      <w:r>
        <w:t xml:space="preserve">d) Refaça o rateio dos custos indiretos de produção, agora proporcionalmente ao NÚMERO DE TROCAS DE MOLDE de cada produto (em vez do volume), e recalcule o lucro bruto de cada um. O resultado total da fábrica muda em relação à letra c? Por que faria sentido usar o número de trocas de molde como base de rateio em vez do volume produzido?</w:t>
      </w:r>
    </w:p>
    <w:p>
      <w:pPr>
        <w:spacing w:after="120"/>
      </w:pPr>
      <w:r>
        <w:t>e) Um fornecedor terceirizado propõe entregar prontas as 500.000 unidades de potes do ano por $ 410.000,00, sem que a fábrica precise mais produzi-las internamente (as injetoras, a base porta-moldes e a supervisão continuariam sendo usados para baldes e frascos). Um analista júnior comparou essa proposta com o custo unitário de produção dos potes pelo custeio por absorção (letras b e d) para decidir. Essa comparação está correta? Refaça a análise da forma correta e conclua se a proposta deveria ser aceita.</w:t>
      </w:r>
    </w:p>
    <w:p>
      <w:pPr>
        <w:spacing w:after="120"/>
      </w:pPr>
      <w:r>
        <w:t xml:space="preserve">f) Em que situações o custeio por absorção é exigido ou mais adequado (ex.: demonstrações contábeis publicadas, apuração de imposto de renda, avaliação de estoques)? Por que ele não deve ser usado como base para decisões como a da letra e?</w:t>
      </w:r>
    </w:p>
    <w:p>
      <w:pPr>
        <w:spacing w:after="120"/>
      </w:pPr>
      <w:r>
        <w:t>g) Situação hipotética: suponha que, no mesmo ano, a fábrica tivesse produzido 20% a mais de cada produto, mantendo as vendas, os preços, os custos diretos por unidade e o total dos custos indiretos de produção e das despesas. O excedente ficaria no estoque final. Pelo custeio por absorção, com o rateio por volume produzido (como na letra b), qual seria o valor do estoque final e o resultado do período? Compare com o resultado pelo custeio variável, em que os custos indiretos de produção são tratados como despesa do período, e explique a diferença.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2026-09-24T16:47:49.494Z</dcterms:created>
  <dcterms:modified xsi:type="dcterms:W3CDTF">2026-09-24T16:47:49.494Z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