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Metalúrgica Portal do Cerrado — Custos e Margem de Contribuição</w:t>
      </w:r>
    </w:p>
    <w:p>
      <w:pPr>
        <w:spacing w:after="300"/>
      </w:pPr>
      <w:r>
        <w:rPr>
          <w:i/>
          <w:iCs/>
          <w:color w:val="555555"/>
        </w:rPr>
        <w:t xml:space="preserve">Gargalo de capacidade (horas-máquina), custeio por ordem × custeio por processo</w:t>
      </w:r>
    </w:p>
    <w:p>
      <w:pPr>
        <w:pStyle w:val="Heading1"/>
        <w:spacing w:after="150" w:before="300"/>
      </w:pPr>
      <w:r>
        <w:t xml:space="preserve">Enunciado</w:t>
      </w:r>
    </w:p>
    <w:p>
      <w:pPr>
        <w:spacing w:after="120"/>
      </w:pPr>
      <w:r>
        <w:t xml:space="preserve">A Metalúrgica Portal do Cerrado Ltda., serralheria industrial instalada em Sorriso (MT), fabrica dois produtos padronizados — portões de garagem e grades de proteção, produzidos em série, com especificações fixas e custeados pelo custeio por processo — e presta um serviço sob encomenda: estruturas metálicas (coberturas, mezaninos, silos de pequeno porte) fabricadas sob projeto específico de cada cliente, custeadas pelo custeio por ordem de produção. Todos os três passam pela mesma máquina de corte a plasma, recurso escasso da fábrica. Estima-se que a empresa permanecerá em operação por longo prazo. No último ano, foram vendidos 800 portões, 1.200 unidades de grades e concluídos 40 projetos de estruturas sob encomenda, com boa aceitação no mercado e sem formação de estoque de produtos acabados.</w:t>
      </w:r>
    </w:p>
    <w:p>
      <w:pPr>
        <w:pStyle w:val="Heading1"/>
        <w:spacing w:after="150" w:before="300"/>
      </w:pPr>
      <w:r>
        <w:t xml:space="preserve">Dados — Custos variáveis de produção por unidade/projeto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80"/>
              <w:left w:type="dxa" w:w="100"/>
              <w:bottom w:type="dxa" w:w="80"/>
              <w:right w:type="dxa" w:w="100"/>
            </w:tcMar>
          </w:tcPr>
          <w:p>
            <w:pPr>
              <w:jc w:val="center"/>
            </w:pPr>
            <w:r>
              <w:rPr>
                <w:b/>
                <w:bCs/>
                <w:i w:val="false"/>
                <w:iCs w:val="false"/>
              </w:rPr>
              <w:t xml:space="preserve">Produto/Serviço</w:t>
            </w:r>
          </w:p>
        </w:tc>
        <w:tc>
          <w:tcPr>
            <w:tcW w:type="dxa" w:w="1872"/>
            <w:shd w:fill="D9E2F3" w:val="clear"/>
            <w:tcMar>
              <w:top w:type="dxa" w:w="80"/>
              <w:left w:type="dxa" w:w="100"/>
              <w:bottom w:type="dxa" w:w="80"/>
              <w:right w:type="dxa" w:w="100"/>
            </w:tcMar>
          </w:tcPr>
          <w:p>
            <w:pPr>
              <w:jc w:val="center"/>
            </w:pPr>
            <w:r>
              <w:rPr>
                <w:b/>
                <w:bCs/>
                <w:i w:val="false"/>
                <w:iCs w:val="false"/>
              </w:rPr>
              <w:t xml:space="preserve">Matéria-prima ($)</w:t>
            </w:r>
          </w:p>
        </w:tc>
        <w:tc>
          <w:tcPr>
            <w:tcW w:type="dxa" w:w="1872"/>
            <w:shd w:fill="D9E2F3" w:val="clear"/>
            <w:tcMar>
              <w:top w:type="dxa" w:w="80"/>
              <w:left w:type="dxa" w:w="100"/>
              <w:bottom w:type="dxa" w:w="80"/>
              <w:right w:type="dxa" w:w="100"/>
            </w:tcMar>
          </w:tcPr>
          <w:p>
            <w:pPr>
              <w:jc w:val="center"/>
            </w:pPr>
            <w:r>
              <w:rPr>
                <w:b/>
                <w:bCs/>
                <w:i w:val="false"/>
                <w:iCs w:val="false"/>
              </w:rPr>
              <w:t xml:space="preserve">MOD solda/montagem ($)</w:t>
            </w:r>
          </w:p>
        </w:tc>
        <w:tc>
          <w:tcPr>
            <w:tcW w:type="dxa" w:w="1872"/>
            <w:shd w:fill="D9E2F3" w:val="clear"/>
            <w:tcMar>
              <w:top w:type="dxa" w:w="80"/>
              <w:left w:type="dxa" w:w="100"/>
              <w:bottom w:type="dxa" w:w="80"/>
              <w:right w:type="dxa" w:w="100"/>
            </w:tcMar>
          </w:tcPr>
          <w:p>
            <w:pPr>
              <w:jc w:val="center"/>
            </w:pPr>
            <w:r>
              <w:rPr>
                <w:b/>
                <w:bCs/>
                <w:i w:val="false"/>
                <w:iCs w:val="false"/>
              </w:rPr>
              <w:t xml:space="preserve">Insumos ($)</w:t>
            </w:r>
          </w:p>
        </w:tc>
        <w:tc>
          <w:tcPr>
            <w:tcW w:type="dxa" w:w="1872"/>
            <w:shd w:fill="D9E2F3" w:val="clear"/>
            <w:tcMar>
              <w:top w:type="dxa" w:w="80"/>
              <w:left w:type="dxa" w:w="100"/>
              <w:bottom w:type="dxa" w:w="80"/>
              <w:right w:type="dxa" w:w="100"/>
            </w:tcMar>
          </w:tcPr>
          <w:p>
            <w:pPr>
              <w:jc w:val="center"/>
            </w:pPr>
            <w:r>
              <w:rPr>
                <w:b/>
                <w:bCs/>
                <w:i w:val="false"/>
                <w:iCs w:val="false"/>
              </w:rPr>
              <w:t xml:space="preserve">Horas-máquina</w:t>
            </w:r>
          </w:p>
        </w:tc>
      </w:tr>
      <w:tr>
        <w:tc>
          <w:tcPr>
            <w:tcW w:type="dxa" w:w="1872"/>
            <w:tcMar>
              <w:top w:type="dxa" w:w="80"/>
              <w:left w:type="dxa" w:w="100"/>
              <w:bottom w:type="dxa" w:w="80"/>
              <w:right w:type="dxa" w:w="100"/>
            </w:tcMar>
          </w:tcPr>
          <w:p>
            <w:pPr>
              <w:jc w:val="left"/>
            </w:pPr>
            <w:r>
              <w:rPr>
                <w:b w:val="false"/>
                <w:bCs w:val="false"/>
                <w:i w:val="false"/>
                <w:iCs w:val="false"/>
              </w:rPr>
              <w:t xml:space="preserve">Portões padrão</w:t>
            </w:r>
          </w:p>
        </w:tc>
        <w:tc>
          <w:tcPr>
            <w:tcW w:type="dxa" w:w="1872"/>
            <w:tcMar>
              <w:top w:type="dxa" w:w="80"/>
              <w:left w:type="dxa" w:w="100"/>
              <w:bottom w:type="dxa" w:w="80"/>
              <w:right w:type="dxa" w:w="100"/>
            </w:tcMar>
          </w:tcPr>
          <w:p>
            <w:pPr>
              <w:jc w:val="right"/>
            </w:pPr>
            <w:r>
              <w:rPr>
                <w:b w:val="false"/>
                <w:bCs w:val="false"/>
                <w:i w:val="false"/>
                <w:iCs w:val="false"/>
              </w:rPr>
              <w:t xml:space="preserve">320,00</w:t>
            </w:r>
          </w:p>
        </w:tc>
        <w:tc>
          <w:tcPr>
            <w:tcW w:type="dxa" w:w="1872"/>
            <w:tcMar>
              <w:top w:type="dxa" w:w="80"/>
              <w:left w:type="dxa" w:w="100"/>
              <w:bottom w:type="dxa" w:w="80"/>
              <w:right w:type="dxa" w:w="100"/>
            </w:tcMar>
          </w:tcPr>
          <w:p>
            <w:pPr>
              <w:jc w:val="right"/>
            </w:pPr>
            <w:r>
              <w:rPr>
                <w:b w:val="false"/>
                <w:bCs w:val="false"/>
                <w:i w:val="false"/>
                <w:iCs w:val="false"/>
              </w:rPr>
              <w:t xml:space="preserve">60,00</w:t>
            </w:r>
          </w:p>
        </w:tc>
        <w:tc>
          <w:tcPr>
            <w:tcW w:type="dxa" w:w="1872"/>
            <w:tcMar>
              <w:top w:type="dxa" w:w="80"/>
              <w:left w:type="dxa" w:w="100"/>
              <w:bottom w:type="dxa" w:w="80"/>
              <w:right w:type="dxa" w:w="100"/>
            </w:tcMar>
          </w:tcPr>
          <w:p>
            <w:pPr>
              <w:jc w:val="right"/>
            </w:pPr>
            <w:r>
              <w:rPr>
                <w:b w:val="false"/>
                <w:bCs w:val="false"/>
                <w:i w:val="false"/>
                <w:iCs w:val="false"/>
              </w:rPr>
              <w:t xml:space="preserve">15,00</w:t>
            </w:r>
          </w:p>
        </w:tc>
        <w:tc>
          <w:tcPr>
            <w:tcW w:type="dxa" w:w="1872"/>
            <w:tcMar>
              <w:top w:type="dxa" w:w="80"/>
              <w:left w:type="dxa" w:w="100"/>
              <w:bottom w:type="dxa" w:w="80"/>
              <w:right w:type="dxa" w:w="100"/>
            </w:tcMar>
          </w:tcPr>
          <w:p>
            <w:pPr>
              <w:jc w:val="right"/>
            </w:pPr>
            <w:r>
              <w:rPr>
                <w:b w:val="false"/>
                <w:bCs w:val="false"/>
                <w:i w:val="false"/>
                <w:iCs w:val="false"/>
              </w:rPr>
              <w:t xml:space="preserve">3,0</w:t>
            </w:r>
          </w:p>
        </w:tc>
      </w:tr>
      <w:tr>
        <w:tc>
          <w:tcPr>
            <w:tcW w:type="dxa" w:w="1872"/>
            <w:tcMar>
              <w:top w:type="dxa" w:w="80"/>
              <w:left w:type="dxa" w:w="100"/>
              <w:bottom w:type="dxa" w:w="80"/>
              <w:right w:type="dxa" w:w="100"/>
            </w:tcMar>
          </w:tcPr>
          <w:p>
            <w:pPr>
              <w:jc w:val="left"/>
            </w:pPr>
            <w:r>
              <w:rPr>
                <w:b w:val="false"/>
                <w:bCs w:val="false"/>
                <w:i w:val="false"/>
                <w:iCs w:val="false"/>
              </w:rPr>
              <w:t xml:space="preserve">Grades padrão</w:t>
            </w:r>
          </w:p>
        </w:tc>
        <w:tc>
          <w:tcPr>
            <w:tcW w:type="dxa" w:w="1872"/>
            <w:tcMar>
              <w:top w:type="dxa" w:w="80"/>
              <w:left w:type="dxa" w:w="100"/>
              <w:bottom w:type="dxa" w:w="80"/>
              <w:right w:type="dxa" w:w="100"/>
            </w:tcMar>
          </w:tcPr>
          <w:p>
            <w:pPr>
              <w:jc w:val="right"/>
            </w:pPr>
            <w:r>
              <w:rPr>
                <w:b w:val="false"/>
                <w:bCs w:val="false"/>
                <w:i w:val="false"/>
                <w:iCs w:val="false"/>
              </w:rPr>
              <w:t xml:space="preserve">180,00</w:t>
            </w:r>
          </w:p>
        </w:tc>
        <w:tc>
          <w:tcPr>
            <w:tcW w:type="dxa" w:w="1872"/>
            <w:tcMar>
              <w:top w:type="dxa" w:w="80"/>
              <w:left w:type="dxa" w:w="100"/>
              <w:bottom w:type="dxa" w:w="80"/>
              <w:right w:type="dxa" w:w="100"/>
            </w:tcMar>
          </w:tcPr>
          <w:p>
            <w:pPr>
              <w:jc w:val="right"/>
            </w:pPr>
            <w:r>
              <w:rPr>
                <w:b w:val="false"/>
                <w:bCs w:val="false"/>
                <w:i w:val="false"/>
                <w:iCs w:val="false"/>
              </w:rPr>
              <w:t xml:space="preserve">35,00</w:t>
            </w:r>
          </w:p>
        </w:tc>
        <w:tc>
          <w:tcPr>
            <w:tcW w:type="dxa" w:w="1872"/>
            <w:tcMar>
              <w:top w:type="dxa" w:w="80"/>
              <w:left w:type="dxa" w:w="100"/>
              <w:bottom w:type="dxa" w:w="80"/>
              <w:right w:type="dxa" w:w="100"/>
            </w:tcMar>
          </w:tcPr>
          <w:p>
            <w:pPr>
              <w:jc w:val="right"/>
            </w:pPr>
            <w:r>
              <w:rPr>
                <w:b w:val="false"/>
                <w:bCs w:val="false"/>
                <w:i w:val="false"/>
                <w:iCs w:val="false"/>
              </w:rPr>
              <w:t xml:space="preserve">8,00</w:t>
            </w:r>
          </w:p>
        </w:tc>
        <w:tc>
          <w:tcPr>
            <w:tcW w:type="dxa" w:w="1872"/>
            <w:tcMar>
              <w:top w:type="dxa" w:w="80"/>
              <w:left w:type="dxa" w:w="100"/>
              <w:bottom w:type="dxa" w:w="80"/>
              <w:right w:type="dxa" w:w="100"/>
            </w:tcMar>
          </w:tcPr>
          <w:p>
            <w:pPr>
              <w:jc w:val="right"/>
            </w:pPr>
            <w:r>
              <w:rPr>
                <w:b w:val="false"/>
                <w:bCs w:val="false"/>
                <w:i w:val="false"/>
                <w:iCs w:val="false"/>
              </w:rPr>
              <w:t xml:space="preserve">1,2</w:t>
            </w:r>
          </w:p>
        </w:tc>
      </w:tr>
      <w:tr>
        <w:tc>
          <w:tcPr>
            <w:tcW w:type="dxa" w:w="1872"/>
            <w:tcMar>
              <w:top w:type="dxa" w:w="80"/>
              <w:left w:type="dxa" w:w="100"/>
              <w:bottom w:type="dxa" w:w="80"/>
              <w:right w:type="dxa" w:w="100"/>
            </w:tcMar>
          </w:tcPr>
          <w:p>
            <w:pPr>
              <w:jc w:val="left"/>
            </w:pPr>
            <w:r>
              <w:rPr>
                <w:b w:val="false"/>
                <w:bCs w:val="false"/>
                <w:i w:val="false"/>
                <w:iCs w:val="false"/>
              </w:rPr>
              <w:t xml:space="preserve">Estruturas sob encomenda</w:t>
            </w:r>
          </w:p>
        </w:tc>
        <w:tc>
          <w:tcPr>
            <w:tcW w:type="dxa" w:w="1872"/>
            <w:tcMar>
              <w:top w:type="dxa" w:w="80"/>
              <w:left w:type="dxa" w:w="100"/>
              <w:bottom w:type="dxa" w:w="80"/>
              <w:right w:type="dxa" w:w="100"/>
            </w:tcMar>
          </w:tcPr>
          <w:p>
            <w:pPr>
              <w:jc w:val="right"/>
            </w:pPr>
            <w:r>
              <w:rPr>
                <w:b w:val="false"/>
                <w:bCs w:val="false"/>
                <w:i w:val="false"/>
                <w:iCs w:val="false"/>
              </w:rPr>
              <w:t xml:space="preserve">3.200,00</w:t>
            </w:r>
          </w:p>
        </w:tc>
        <w:tc>
          <w:tcPr>
            <w:tcW w:type="dxa" w:w="1872"/>
            <w:tcMar>
              <w:top w:type="dxa" w:w="80"/>
              <w:left w:type="dxa" w:w="100"/>
              <w:bottom w:type="dxa" w:w="80"/>
              <w:right w:type="dxa" w:w="100"/>
            </w:tcMar>
          </w:tcPr>
          <w:p>
            <w:pPr>
              <w:jc w:val="right"/>
            </w:pPr>
            <w:r>
              <w:rPr>
                <w:b w:val="false"/>
                <w:bCs w:val="false"/>
                <w:i w:val="false"/>
                <w:iCs w:val="false"/>
              </w:rPr>
              <w:t xml:space="preserve">900,00</w:t>
            </w:r>
          </w:p>
        </w:tc>
        <w:tc>
          <w:tcPr>
            <w:tcW w:type="dxa" w:w="1872"/>
            <w:tcMar>
              <w:top w:type="dxa" w:w="80"/>
              <w:left w:type="dxa" w:w="100"/>
              <w:bottom w:type="dxa" w:w="80"/>
              <w:right w:type="dxa" w:w="100"/>
            </w:tcMar>
          </w:tcPr>
          <w:p>
            <w:pPr>
              <w:jc w:val="right"/>
            </w:pPr>
            <w:r>
              <w:rPr>
                <w:b w:val="false"/>
                <w:bCs w:val="false"/>
                <w:i w:val="false"/>
                <w:iCs w:val="false"/>
              </w:rPr>
              <w:t xml:space="preserve">150,00</w:t>
            </w:r>
          </w:p>
        </w:tc>
        <w:tc>
          <w:tcPr>
            <w:tcW w:type="dxa" w:w="1872"/>
            <w:tcMar>
              <w:top w:type="dxa" w:w="80"/>
              <w:left w:type="dxa" w:w="100"/>
              <w:bottom w:type="dxa" w:w="80"/>
              <w:right w:type="dxa" w:w="100"/>
            </w:tcMar>
          </w:tcPr>
          <w:p>
            <w:pPr>
              <w:jc w:val="right"/>
            </w:pPr>
            <w:r>
              <w:rPr>
                <w:b w:val="false"/>
                <w:bCs w:val="false"/>
                <w:i w:val="false"/>
                <w:iCs w:val="false"/>
              </w:rPr>
              <w:t xml:space="preserve">25,0</w:t>
            </w:r>
          </w:p>
        </w:tc>
      </w:tr>
    </w:tbl>
    <w:p>
      <w:pPr>
        <w:pBdr>
          <w:left w:val="single" w:color="4472C4" w:sz="18" w:space="8"/>
        </w:pBdr>
        <w:shd w:fill="EEF2FB" w:val="clear"/>
        <w:spacing w:after="200" w:before="100"/>
      </w:pPr>
      <w:r>
        <w:rPr>
          <w:i/>
          <w:iCs/>
        </w:rPr>
        <w:t xml:space="preserve">Observação: "horas-máquina" é o tempo de uso da máquina de corte a plasma por unidade (portões e grades) ou por projeto (estruturas sob encomenda) — o recurso mais escasso da fábrica, já que só há uma máquina desse tipo.</w:t>
      </w:r>
    </w:p>
    <w:p>
      <w:pPr>
        <w:pStyle w:val="Heading1"/>
        <w:spacing w:after="150" w:before="300"/>
      </w:pPr>
      <w:r>
        <w:t xml:space="preserve">Dados — Volume e preço de venda por produto/serviço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80"/>
              <w:left w:type="dxa" w:w="100"/>
              <w:bottom w:type="dxa" w:w="80"/>
              <w:right w:type="dxa" w:w="100"/>
            </w:tcMar>
          </w:tcPr>
          <w:p>
            <w:pPr>
              <w:jc w:val="center"/>
            </w:pPr>
            <w:r>
              <w:rPr>
                <w:b/>
                <w:bCs/>
                <w:i w:val="false"/>
                <w:iCs w:val="false"/>
              </w:rPr>
              <w:t xml:space="preserve">Produto/Serviço</w:t>
            </w:r>
          </w:p>
        </w:tc>
        <w:tc>
          <w:tcPr>
            <w:tcW w:type="dxa" w:w="3120"/>
            <w:shd w:fill="D9E2F3" w:val="clear"/>
            <w:tcMar>
              <w:top w:type="dxa" w:w="80"/>
              <w:left w:type="dxa" w:w="100"/>
              <w:bottom w:type="dxa" w:w="80"/>
              <w:right w:type="dxa" w:w="100"/>
            </w:tcMar>
          </w:tcPr>
          <w:p>
            <w:pPr>
              <w:jc w:val="center"/>
            </w:pPr>
            <w:r>
              <w:rPr>
                <w:b/>
                <w:bCs/>
                <w:i w:val="false"/>
                <w:iCs w:val="false"/>
              </w:rPr>
              <w:t xml:space="preserve">Volume (un./projetos por ano)</w:t>
            </w:r>
          </w:p>
        </w:tc>
        <w:tc>
          <w:tcPr>
            <w:tcW w:type="dxa" w:w="3120"/>
            <w:shd w:fill="D9E2F3" w:val="clear"/>
            <w:tcMar>
              <w:top w:type="dxa" w:w="80"/>
              <w:left w:type="dxa" w:w="100"/>
              <w:bottom w:type="dxa" w:w="80"/>
              <w:right w:type="dxa" w:w="100"/>
            </w:tcMar>
          </w:tcPr>
          <w:p>
            <w:pPr>
              <w:jc w:val="center"/>
            </w:pPr>
            <w:r>
              <w:rPr>
                <w:b/>
                <w:bCs/>
                <w:i w:val="false"/>
                <w:iCs w:val="false"/>
              </w:rPr>
              <w:t xml:space="preserve">Preço de venda ($/un. ou /projeto)</w:t>
            </w:r>
          </w:p>
        </w:tc>
      </w:tr>
      <w:tr>
        <w:tc>
          <w:tcPr>
            <w:tcW w:type="dxa" w:w="3120"/>
            <w:tcMar>
              <w:top w:type="dxa" w:w="80"/>
              <w:left w:type="dxa" w:w="100"/>
              <w:bottom w:type="dxa" w:w="80"/>
              <w:right w:type="dxa" w:w="100"/>
            </w:tcMar>
          </w:tcPr>
          <w:p>
            <w:pPr>
              <w:jc w:val="left"/>
            </w:pPr>
            <w:r>
              <w:rPr>
                <w:b w:val="false"/>
                <w:bCs w:val="false"/>
                <w:i w:val="false"/>
                <w:iCs w:val="false"/>
              </w:rPr>
              <w:t xml:space="preserve">Portões padrão</w:t>
            </w:r>
          </w:p>
        </w:tc>
        <w:tc>
          <w:tcPr>
            <w:tcW w:type="dxa" w:w="3120"/>
            <w:tcMar>
              <w:top w:type="dxa" w:w="80"/>
              <w:left w:type="dxa" w:w="100"/>
              <w:bottom w:type="dxa" w:w="80"/>
              <w:right w:type="dxa" w:w="100"/>
            </w:tcMar>
          </w:tcPr>
          <w:p>
            <w:pPr>
              <w:jc w:val="right"/>
            </w:pPr>
            <w:r>
              <w:rPr>
                <w:b w:val="false"/>
                <w:bCs w:val="false"/>
                <w:i w:val="false"/>
                <w:iCs w:val="false"/>
              </w:rPr>
              <w:t xml:space="preserve">800</w:t>
            </w:r>
          </w:p>
        </w:tc>
        <w:tc>
          <w:tcPr>
            <w:tcW w:type="dxa" w:w="3120"/>
            <w:tcMar>
              <w:top w:type="dxa" w:w="80"/>
              <w:left w:type="dxa" w:w="100"/>
              <w:bottom w:type="dxa" w:w="80"/>
              <w:right w:type="dxa" w:w="100"/>
            </w:tcMar>
          </w:tcPr>
          <w:p>
            <w:pPr>
              <w:jc w:val="right"/>
            </w:pPr>
            <w:r>
              <w:rPr>
                <w:b w:val="false"/>
                <w:bCs w:val="false"/>
                <w:i w:val="false"/>
                <w:iCs w:val="false"/>
              </w:rPr>
              <w:t xml:space="preserve">$ 850,00</w:t>
            </w:r>
          </w:p>
        </w:tc>
      </w:tr>
      <w:tr>
        <w:tc>
          <w:tcPr>
            <w:tcW w:type="dxa" w:w="3120"/>
            <w:tcMar>
              <w:top w:type="dxa" w:w="80"/>
              <w:left w:type="dxa" w:w="100"/>
              <w:bottom w:type="dxa" w:w="80"/>
              <w:right w:type="dxa" w:w="100"/>
            </w:tcMar>
          </w:tcPr>
          <w:p>
            <w:pPr>
              <w:jc w:val="left"/>
            </w:pPr>
            <w:r>
              <w:rPr>
                <w:b w:val="false"/>
                <w:bCs w:val="false"/>
                <w:i w:val="false"/>
                <w:iCs w:val="false"/>
              </w:rPr>
              <w:t xml:space="preserve">Grades padrão</w:t>
            </w:r>
          </w:p>
        </w:tc>
        <w:tc>
          <w:tcPr>
            <w:tcW w:type="dxa" w:w="3120"/>
            <w:tcMar>
              <w:top w:type="dxa" w:w="80"/>
              <w:left w:type="dxa" w:w="100"/>
              <w:bottom w:type="dxa" w:w="80"/>
              <w:right w:type="dxa" w:w="100"/>
            </w:tcMar>
          </w:tcPr>
          <w:p>
            <w:pPr>
              <w:jc w:val="right"/>
            </w:pPr>
            <w:r>
              <w:rPr>
                <w:b w:val="false"/>
                <w:bCs w:val="false"/>
                <w:i w:val="false"/>
                <w:iCs w:val="false"/>
              </w:rPr>
              <w:t xml:space="preserve">1.200</w:t>
            </w:r>
          </w:p>
        </w:tc>
        <w:tc>
          <w:tcPr>
            <w:tcW w:type="dxa" w:w="3120"/>
            <w:tcMar>
              <w:top w:type="dxa" w:w="80"/>
              <w:left w:type="dxa" w:w="100"/>
              <w:bottom w:type="dxa" w:w="80"/>
              <w:right w:type="dxa" w:w="100"/>
            </w:tcMar>
          </w:tcPr>
          <w:p>
            <w:pPr>
              <w:jc w:val="right"/>
            </w:pPr>
            <w:r>
              <w:rPr>
                <w:b w:val="false"/>
                <w:bCs w:val="false"/>
                <w:i w:val="false"/>
                <w:iCs w:val="false"/>
              </w:rPr>
              <w:t xml:space="preserve">$ 420,00</w:t>
            </w:r>
          </w:p>
        </w:tc>
      </w:tr>
      <w:tr>
        <w:tc>
          <w:tcPr>
            <w:tcW w:type="dxa" w:w="3120"/>
            <w:tcMar>
              <w:top w:type="dxa" w:w="80"/>
              <w:left w:type="dxa" w:w="100"/>
              <w:bottom w:type="dxa" w:w="80"/>
              <w:right w:type="dxa" w:w="100"/>
            </w:tcMar>
          </w:tcPr>
          <w:p>
            <w:pPr>
              <w:jc w:val="left"/>
            </w:pPr>
            <w:r>
              <w:rPr>
                <w:b w:val="false"/>
                <w:bCs w:val="false"/>
                <w:i w:val="false"/>
                <w:iCs w:val="false"/>
              </w:rPr>
              <w:t xml:space="preserve">Estruturas sob encomenda</w:t>
            </w:r>
          </w:p>
        </w:tc>
        <w:tc>
          <w:tcPr>
            <w:tcW w:type="dxa" w:w="3120"/>
            <w:tcMar>
              <w:top w:type="dxa" w:w="80"/>
              <w:left w:type="dxa" w:w="100"/>
              <w:bottom w:type="dxa" w:w="80"/>
              <w:right w:type="dxa" w:w="100"/>
            </w:tcMar>
          </w:tcPr>
          <w:p>
            <w:pPr>
              <w:jc w:val="right"/>
            </w:pPr>
            <w:r>
              <w:rPr>
                <w:b w:val="false"/>
                <w:bCs w:val="false"/>
                <w:i w:val="false"/>
                <w:iCs w:val="false"/>
              </w:rPr>
              <w:t xml:space="preserve">40</w:t>
            </w:r>
          </w:p>
        </w:tc>
        <w:tc>
          <w:tcPr>
            <w:tcW w:type="dxa" w:w="3120"/>
            <w:tcMar>
              <w:top w:type="dxa" w:w="80"/>
              <w:left w:type="dxa" w:w="100"/>
              <w:bottom w:type="dxa" w:w="80"/>
              <w:right w:type="dxa" w:w="100"/>
            </w:tcMar>
          </w:tcPr>
          <w:p>
            <w:pPr>
              <w:jc w:val="right"/>
            </w:pPr>
            <w:r>
              <w:rPr>
                <w:b w:val="false"/>
                <w:bCs w:val="false"/>
                <w:i w:val="false"/>
                <w:iCs w:val="false"/>
              </w:rPr>
              <w:t xml:space="preserve">$ 8.500,00</w:t>
            </w:r>
          </w:p>
        </w:tc>
      </w:tr>
    </w:tbl>
    <w:p>
      <w:pPr>
        <w:pStyle w:val="Heading1"/>
        <w:spacing w:after="150" w:before="300"/>
      </w:pPr>
      <w:r>
        <w:t xml:space="preserve">Dados — Despesas variáveis de venda por produto/serviço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80"/>
              <w:left w:type="dxa" w:w="100"/>
              <w:bottom w:type="dxa" w:w="80"/>
              <w:right w:type="dxa" w:w="100"/>
            </w:tcMar>
          </w:tcPr>
          <w:p>
            <w:pPr>
              <w:jc w:val="center"/>
            </w:pPr>
            <w:r>
              <w:rPr>
                <w:b/>
                <w:bCs/>
                <w:i w:val="false"/>
                <w:iCs w:val="false"/>
              </w:rPr>
              <w:t xml:space="preserve">Produto/Serviço</w:t>
            </w:r>
          </w:p>
        </w:tc>
        <w:tc>
          <w:tcPr>
            <w:tcW w:type="dxa" w:w="3120"/>
            <w:shd w:fill="D9E2F3" w:val="clear"/>
            <w:tcMar>
              <w:top w:type="dxa" w:w="80"/>
              <w:left w:type="dxa" w:w="100"/>
              <w:bottom w:type="dxa" w:w="80"/>
              <w:right w:type="dxa" w:w="100"/>
            </w:tcMar>
          </w:tcPr>
          <w:p>
            <w:pPr>
              <w:jc w:val="center"/>
            </w:pPr>
            <w:r>
              <w:rPr>
                <w:b/>
                <w:bCs/>
                <w:i w:val="false"/>
                <w:iCs w:val="false"/>
              </w:rPr>
              <w:t xml:space="preserve">Comissão de vendas (% sobre o preço)</w:t>
            </w:r>
          </w:p>
        </w:tc>
        <w:tc>
          <w:tcPr>
            <w:tcW w:type="dxa" w:w="3120"/>
            <w:shd w:fill="D9E2F3" w:val="clear"/>
            <w:tcMar>
              <w:top w:type="dxa" w:w="80"/>
              <w:left w:type="dxa" w:w="100"/>
              <w:bottom w:type="dxa" w:w="80"/>
              <w:right w:type="dxa" w:w="100"/>
            </w:tcMar>
          </w:tcPr>
          <w:p>
            <w:pPr>
              <w:jc w:val="center"/>
            </w:pPr>
            <w:r>
              <w:rPr>
                <w:b/>
                <w:bCs/>
                <w:i w:val="false"/>
                <w:iCs w:val="false"/>
              </w:rPr>
              <w:t xml:space="preserve">Frete/instalação ($/un. ou /projeto)</w:t>
            </w:r>
          </w:p>
        </w:tc>
      </w:tr>
      <w:tr>
        <w:tc>
          <w:tcPr>
            <w:tcW w:type="dxa" w:w="3120"/>
            <w:tcMar>
              <w:top w:type="dxa" w:w="80"/>
              <w:left w:type="dxa" w:w="100"/>
              <w:bottom w:type="dxa" w:w="80"/>
              <w:right w:type="dxa" w:w="100"/>
            </w:tcMar>
          </w:tcPr>
          <w:p>
            <w:pPr>
              <w:jc w:val="left"/>
            </w:pPr>
            <w:r>
              <w:rPr>
                <w:b w:val="false"/>
                <w:bCs w:val="false"/>
                <w:i w:val="false"/>
                <w:iCs w:val="false"/>
              </w:rPr>
              <w:t xml:space="preserve">Portões padrão</w:t>
            </w:r>
          </w:p>
        </w:tc>
        <w:tc>
          <w:tcPr>
            <w:tcW w:type="dxa" w:w="3120"/>
            <w:tcMar>
              <w:top w:type="dxa" w:w="80"/>
              <w:left w:type="dxa" w:w="100"/>
              <w:bottom w:type="dxa" w:w="80"/>
              <w:right w:type="dxa" w:w="100"/>
            </w:tcMar>
          </w:tcPr>
          <w:p>
            <w:pPr>
              <w:jc w:val="right"/>
            </w:pPr>
            <w:r>
              <w:rPr>
                <w:b w:val="false"/>
                <w:bCs w:val="false"/>
                <w:i w:val="false"/>
                <w:iCs w:val="false"/>
              </w:rPr>
              <w:t xml:space="preserve">4,0%</w:t>
            </w:r>
          </w:p>
        </w:tc>
        <w:tc>
          <w:tcPr>
            <w:tcW w:type="dxa" w:w="3120"/>
            <w:tcMar>
              <w:top w:type="dxa" w:w="80"/>
              <w:left w:type="dxa" w:w="100"/>
              <w:bottom w:type="dxa" w:w="80"/>
              <w:right w:type="dxa" w:w="100"/>
            </w:tcMar>
          </w:tcPr>
          <w:p>
            <w:pPr>
              <w:jc w:val="right"/>
            </w:pPr>
            <w:r>
              <w:rPr>
                <w:b w:val="false"/>
                <w:bCs w:val="false"/>
                <w:i w:val="false"/>
                <w:iCs w:val="false"/>
              </w:rPr>
              <w:t xml:space="preserve">$ 40,00</w:t>
            </w:r>
          </w:p>
        </w:tc>
      </w:tr>
      <w:tr>
        <w:tc>
          <w:tcPr>
            <w:tcW w:type="dxa" w:w="3120"/>
            <w:tcMar>
              <w:top w:type="dxa" w:w="80"/>
              <w:left w:type="dxa" w:w="100"/>
              <w:bottom w:type="dxa" w:w="80"/>
              <w:right w:type="dxa" w:w="100"/>
            </w:tcMar>
          </w:tcPr>
          <w:p>
            <w:pPr>
              <w:jc w:val="left"/>
            </w:pPr>
            <w:r>
              <w:rPr>
                <w:b w:val="false"/>
                <w:bCs w:val="false"/>
                <w:i w:val="false"/>
                <w:iCs w:val="false"/>
              </w:rPr>
              <w:t xml:space="preserve">Grades padrão</w:t>
            </w:r>
          </w:p>
        </w:tc>
        <w:tc>
          <w:tcPr>
            <w:tcW w:type="dxa" w:w="3120"/>
            <w:tcMar>
              <w:top w:type="dxa" w:w="80"/>
              <w:left w:type="dxa" w:w="100"/>
              <w:bottom w:type="dxa" w:w="80"/>
              <w:right w:type="dxa" w:w="100"/>
            </w:tcMar>
          </w:tcPr>
          <w:p>
            <w:pPr>
              <w:jc w:val="right"/>
            </w:pPr>
            <w:r>
              <w:rPr>
                <w:b w:val="false"/>
                <w:bCs w:val="false"/>
                <w:i w:val="false"/>
                <w:iCs w:val="false"/>
              </w:rPr>
              <w:t xml:space="preserve">4,0%</w:t>
            </w:r>
          </w:p>
        </w:tc>
        <w:tc>
          <w:tcPr>
            <w:tcW w:type="dxa" w:w="3120"/>
            <w:tcMar>
              <w:top w:type="dxa" w:w="80"/>
              <w:left w:type="dxa" w:w="100"/>
              <w:bottom w:type="dxa" w:w="80"/>
              <w:right w:type="dxa" w:w="100"/>
            </w:tcMar>
          </w:tcPr>
          <w:p>
            <w:pPr>
              <w:jc w:val="right"/>
            </w:pPr>
            <w:r>
              <w:rPr>
                <w:b w:val="false"/>
                <w:bCs w:val="false"/>
                <w:i w:val="false"/>
                <w:iCs w:val="false"/>
              </w:rPr>
              <w:t xml:space="preserve">$ 15,00</w:t>
            </w:r>
          </w:p>
        </w:tc>
      </w:tr>
      <w:tr>
        <w:tc>
          <w:tcPr>
            <w:tcW w:type="dxa" w:w="3120"/>
            <w:tcMar>
              <w:top w:type="dxa" w:w="80"/>
              <w:left w:type="dxa" w:w="100"/>
              <w:bottom w:type="dxa" w:w="80"/>
              <w:right w:type="dxa" w:w="100"/>
            </w:tcMar>
          </w:tcPr>
          <w:p>
            <w:pPr>
              <w:jc w:val="left"/>
            </w:pPr>
            <w:r>
              <w:rPr>
                <w:b w:val="false"/>
                <w:bCs w:val="false"/>
                <w:i w:val="false"/>
                <w:iCs w:val="false"/>
              </w:rPr>
              <w:t xml:space="preserve">Estruturas sob encomenda</w:t>
            </w:r>
          </w:p>
        </w:tc>
        <w:tc>
          <w:tcPr>
            <w:tcW w:type="dxa" w:w="3120"/>
            <w:tcMar>
              <w:top w:type="dxa" w:w="80"/>
              <w:left w:type="dxa" w:w="100"/>
              <w:bottom w:type="dxa" w:w="80"/>
              <w:right w:type="dxa" w:w="100"/>
            </w:tcMar>
          </w:tcPr>
          <w:p>
            <w:pPr>
              <w:jc w:val="right"/>
            </w:pPr>
            <w:r>
              <w:rPr>
                <w:b w:val="false"/>
                <w:bCs w:val="false"/>
                <w:i w:val="false"/>
                <w:iCs w:val="false"/>
              </w:rPr>
              <w:t xml:space="preserve">4,0%</w:t>
            </w:r>
          </w:p>
        </w:tc>
        <w:tc>
          <w:tcPr>
            <w:tcW w:type="dxa" w:w="3120"/>
            <w:tcMar>
              <w:top w:type="dxa" w:w="80"/>
              <w:left w:type="dxa" w:w="100"/>
              <w:bottom w:type="dxa" w:w="80"/>
              <w:right w:type="dxa" w:w="100"/>
            </w:tcMar>
          </w:tcPr>
          <w:p>
            <w:pPr>
              <w:jc w:val="right"/>
            </w:pPr>
            <w:r>
              <w:rPr>
                <w:b w:val="false"/>
                <w:bCs w:val="false"/>
                <w:i w:val="false"/>
                <w:iCs w:val="false"/>
              </w:rPr>
              <w:t xml:space="preserve">$ 300,00</w:t>
            </w:r>
          </w:p>
        </w:tc>
      </w:tr>
    </w:tbl>
    <w:p>
      <w:pPr>
        <w:pStyle w:val="Heading1"/>
        <w:spacing w:after="150" w:before="300"/>
      </w:pPr>
      <w:r>
        <w:t xml:space="preserve">Dados — Capacidade da máquina de corte a plasma</w:t>
      </w:r>
    </w:p>
    <w:p>
      <w:pPr>
        <w:spacing w:after="120"/>
      </w:pPr>
      <w:r>
        <w:t xml:space="preserve">Capacidade disponível: 4.200 horas/ano.</w:t>
      </w:r>
    </w:p>
    <w:p>
      <w:pPr>
        <w:pStyle w:val="Heading1"/>
        <w:spacing w:after="150" w:before="300"/>
      </w:pPr>
      <w:r>
        <w:t xml:space="preserve">Dados — Custos e despesas fixas do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Aluguel do galpão industrial</w:t>
            </w:r>
          </w:p>
        </w:tc>
        <w:tc>
          <w:tcPr>
            <w:tcW w:type="dxa" w:w="4680"/>
            <w:tcMar>
              <w:top w:type="dxa" w:w="80"/>
              <w:left w:type="dxa" w:w="100"/>
              <w:bottom w:type="dxa" w:w="80"/>
              <w:right w:type="dxa" w:w="100"/>
            </w:tcMar>
          </w:tcPr>
          <w:p>
            <w:pPr>
              <w:jc w:val="right"/>
            </w:pPr>
            <w:r>
              <w:rPr>
                <w:b w:val="false"/>
                <w:bCs w:val="false"/>
                <w:i w:val="false"/>
                <w:iCs w:val="false"/>
              </w:rPr>
              <w:t xml:space="preserve">150.000,00</w:t>
            </w:r>
          </w:p>
        </w:tc>
      </w:tr>
      <w:tr>
        <w:tc>
          <w:tcPr>
            <w:tcW w:type="dxa" w:w="4680"/>
            <w:tcMar>
              <w:top w:type="dxa" w:w="80"/>
              <w:left w:type="dxa" w:w="100"/>
              <w:bottom w:type="dxa" w:w="80"/>
              <w:right w:type="dxa" w:w="100"/>
            </w:tcMar>
          </w:tcPr>
          <w:p>
            <w:pPr>
              <w:jc w:val="left"/>
            </w:pPr>
            <w:r>
              <w:rPr>
                <w:b w:val="false"/>
                <w:bCs w:val="false"/>
                <w:i w:val="false"/>
                <w:iCs w:val="false"/>
              </w:rPr>
              <w:t>Depreciação da máquina de corte a plasma (equipamento $ 800.000, vida útil 10 anos, taxa de depreciação de 10% a.a.)</w:t>
            </w:r>
          </w:p>
        </w:tc>
        <w:tc>
          <w:tcPr>
            <w:tcW w:type="dxa" w:w="4680"/>
            <w:tcMar>
              <w:top w:type="dxa" w:w="80"/>
              <w:left w:type="dxa" w:w="100"/>
              <w:bottom w:type="dxa" w:w="80"/>
              <w:right w:type="dxa" w:w="100"/>
            </w:tcMar>
          </w:tcPr>
          <w:p>
            <w:pPr>
              <w:jc w:val="right"/>
            </w:pPr>
            <w:r>
              <w:rPr>
                <w:b w:val="false"/>
                <w:bCs w:val="false"/>
                <w:i w:val="false"/>
                <w:iCs w:val="false"/>
              </w:rPr>
              <w:t xml:space="preserve">80.000,00</w:t>
            </w:r>
          </w:p>
        </w:tc>
      </w:tr>
      <w:tr>
        <w:tc>
          <w:tcPr>
            <w:tcW w:type="dxa" w:w="4680"/>
            <w:tcMar>
              <w:top w:type="dxa" w:w="80"/>
              <w:left w:type="dxa" w:w="100"/>
              <w:bottom w:type="dxa" w:w="80"/>
              <w:right w:type="dxa" w:w="100"/>
            </w:tcMar>
          </w:tcPr>
          <w:p>
            <w:pPr>
              <w:jc w:val="left"/>
            </w:pPr>
            <w:r>
              <w:rPr>
                <w:b w:val="false"/>
                <w:bCs w:val="false"/>
                <w:i w:val="false"/>
                <w:iCs w:val="false"/>
              </w:rPr>
              <w:t>Depreciação das máquinas de solda (equipamento $ 300.000, vida útil 10 anos, taxa de depreciação de 10% a.a.)</w:t>
            </w:r>
          </w:p>
        </w:tc>
        <w:tc>
          <w:tcPr>
            <w:tcW w:type="dxa" w:w="4680"/>
            <w:tcMar>
              <w:top w:type="dxa" w:w="80"/>
              <w:left w:type="dxa" w:w="100"/>
              <w:bottom w:type="dxa" w:w="80"/>
              <w:right w:type="dxa" w:w="100"/>
            </w:tcMar>
          </w:tcPr>
          <w:p>
            <w:pPr>
              <w:jc w:val="right"/>
            </w:pPr>
            <w:r>
              <w:rPr>
                <w:b w:val="false"/>
                <w:bCs w:val="false"/>
                <w:i w:val="false"/>
                <w:iCs w:val="false"/>
              </w:rPr>
              <w:t xml:space="preserve">30.000,00</w:t>
            </w:r>
          </w:p>
        </w:tc>
      </w:tr>
      <w:tr>
        <w:tc>
          <w:tcPr>
            <w:tcW w:type="dxa" w:w="4680"/>
            <w:tcMar>
              <w:top w:type="dxa" w:w="80"/>
              <w:left w:type="dxa" w:w="100"/>
              <w:bottom w:type="dxa" w:w="80"/>
              <w:right w:type="dxa" w:w="100"/>
            </w:tcMar>
          </w:tcPr>
          <w:p>
            <w:pPr>
              <w:jc w:val="left"/>
            </w:pPr>
            <w:r>
              <w:rPr>
                <w:b w:val="false"/>
                <w:bCs w:val="false"/>
                <w:i w:val="false"/>
                <w:iCs w:val="false"/>
              </w:rPr>
              <w:t xml:space="preserve">Supervisão de produção (salários e encargos)</w:t>
            </w:r>
          </w:p>
        </w:tc>
        <w:tc>
          <w:tcPr>
            <w:tcW w:type="dxa" w:w="4680"/>
            <w:tcMar>
              <w:top w:type="dxa" w:w="80"/>
              <w:left w:type="dxa" w:w="100"/>
              <w:bottom w:type="dxa" w:w="80"/>
              <w:right w:type="dxa" w:w="100"/>
            </w:tcMar>
          </w:tcPr>
          <w:p>
            <w:pPr>
              <w:jc w:val="right"/>
            </w:pPr>
            <w:r>
              <w:rPr>
                <w:b w:val="false"/>
                <w:bCs w:val="false"/>
                <w:i w:val="false"/>
                <w:iCs w:val="false"/>
              </w:rPr>
              <w:t xml:space="preserve">120.000,00</w:t>
            </w:r>
          </w:p>
        </w:tc>
      </w:tr>
      <w:tr>
        <w:tc>
          <w:tcPr>
            <w:tcW w:type="dxa" w:w="4680"/>
            <w:tcMar>
              <w:top w:type="dxa" w:w="80"/>
              <w:left w:type="dxa" w:w="100"/>
              <w:bottom w:type="dxa" w:w="80"/>
              <w:right w:type="dxa" w:w="100"/>
            </w:tcMar>
          </w:tcPr>
          <w:p>
            <w:pPr>
              <w:jc w:val="left"/>
            </w:pPr>
            <w:r>
              <w:rPr>
                <w:b w:val="false"/>
                <w:bCs w:val="false"/>
                <w:i w:val="false"/>
                <w:iCs w:val="false"/>
              </w:rPr>
              <w:t xml:space="preserve">Aluguel do escritório administrativo</w:t>
            </w:r>
          </w:p>
        </w:tc>
        <w:tc>
          <w:tcPr>
            <w:tcW w:type="dxa" w:w="4680"/>
            <w:tcMar>
              <w:top w:type="dxa" w:w="80"/>
              <w:left w:type="dxa" w:w="100"/>
              <w:bottom w:type="dxa" w:w="80"/>
              <w:right w:type="dxa" w:w="100"/>
            </w:tcMar>
          </w:tcPr>
          <w:p>
            <w:pPr>
              <w:jc w:val="right"/>
            </w:pPr>
            <w:r>
              <w:rPr>
                <w:b w:val="false"/>
                <w:bCs w:val="false"/>
                <w:i w:val="false"/>
                <w:iCs w:val="false"/>
              </w:rPr>
              <w:t xml:space="preserve">50.000,00</w:t>
            </w:r>
          </w:p>
        </w:tc>
      </w:tr>
      <w:tr>
        <w:tc>
          <w:tcPr>
            <w:tcW w:type="dxa" w:w="4680"/>
            <w:tcMar>
              <w:top w:type="dxa" w:w="80"/>
              <w:left w:type="dxa" w:w="100"/>
              <w:bottom w:type="dxa" w:w="80"/>
              <w:right w:type="dxa" w:w="100"/>
            </w:tcMar>
          </w:tcPr>
          <w:p>
            <w:pPr>
              <w:jc w:val="left"/>
            </w:pPr>
            <w:r>
              <w:rPr>
                <w:b w:val="false"/>
                <w:bCs w:val="false"/>
                <w:i w:val="false"/>
                <w:iCs w:val="false"/>
              </w:rPr>
              <w:t xml:space="preserve">Salários e encargos do pessoal administrativo</w:t>
            </w:r>
          </w:p>
        </w:tc>
        <w:tc>
          <w:tcPr>
            <w:tcW w:type="dxa" w:w="4680"/>
            <w:tcMar>
              <w:top w:type="dxa" w:w="80"/>
              <w:left w:type="dxa" w:w="100"/>
              <w:bottom w:type="dxa" w:w="80"/>
              <w:right w:type="dxa" w:w="100"/>
            </w:tcMar>
          </w:tcPr>
          <w:p>
            <w:pPr>
              <w:jc w:val="right"/>
            </w:pPr>
            <w:r>
              <w:rPr>
                <w:b w:val="false"/>
                <w:bCs w:val="false"/>
                <w:i w:val="false"/>
                <w:iCs w:val="false"/>
              </w:rPr>
              <w:t xml:space="preserve">80.000,00</w:t>
            </w:r>
          </w:p>
        </w:tc>
      </w:tr>
      <w:tr>
        <w:tc>
          <w:tcPr>
            <w:tcW w:type="dxa" w:w="4680"/>
            <w:tcMar>
              <w:top w:type="dxa" w:w="80"/>
              <w:left w:type="dxa" w:w="100"/>
              <w:bottom w:type="dxa" w:w="80"/>
              <w:right w:type="dxa" w:w="100"/>
            </w:tcMar>
          </w:tcPr>
          <w:p>
            <w:pPr>
              <w:jc w:val="left"/>
            </w:pPr>
            <w:r>
              <w:rPr>
                <w:b w:val="false"/>
                <w:bCs w:val="false"/>
                <w:i w:val="false"/>
                <w:iCs w:val="false"/>
              </w:rPr>
              <w:t>Depreciação de móveis e computadores administrativos (equipamento $ 60.000, vida útil 10 anos, taxa de depreciação de 10% a.a.)</w:t>
            </w:r>
          </w:p>
        </w:tc>
        <w:tc>
          <w:tcPr>
            <w:tcW w:type="dxa" w:w="4680"/>
            <w:tcMar>
              <w:top w:type="dxa" w:w="80"/>
              <w:left w:type="dxa" w:w="100"/>
              <w:bottom w:type="dxa" w:w="80"/>
              <w:right w:type="dxa" w:w="100"/>
            </w:tcMar>
          </w:tcPr>
          <w:p>
            <w:pPr>
              <w:jc w:val="right"/>
            </w:pPr>
            <w:r>
              <w:rPr>
                <w:b w:val="false"/>
                <w:bCs w:val="false"/>
                <w:i w:val="false"/>
                <w:iCs w:val="false"/>
              </w:rPr>
              <w:t xml:space="preserve">6.000,00</w:t>
            </w:r>
          </w:p>
        </w:tc>
      </w:tr>
      <w:tr>
        <w:tc>
          <w:tcPr>
            <w:tcW w:type="dxa" w:w="4680"/>
            <w:tcMar>
              <w:top w:type="dxa" w:w="80"/>
              <w:left w:type="dxa" w:w="100"/>
              <w:bottom w:type="dxa" w:w="80"/>
              <w:right w:type="dxa" w:w="100"/>
            </w:tcMar>
          </w:tcPr>
          <w:p>
            <w:pPr>
              <w:jc w:val="left"/>
            </w:pPr>
            <w:r>
              <w:rPr>
                <w:b w:val="false"/>
                <w:bCs w:val="false"/>
                <w:i w:val="false"/>
                <w:iCs w:val="false"/>
              </w:rPr>
              <w:t xml:space="preserve">Salário e encargos do gerente comercial</w:t>
            </w:r>
          </w:p>
        </w:tc>
        <w:tc>
          <w:tcPr>
            <w:tcW w:type="dxa" w:w="4680"/>
            <w:tcMar>
              <w:top w:type="dxa" w:w="80"/>
              <w:left w:type="dxa" w:w="100"/>
              <w:bottom w:type="dxa" w:w="80"/>
              <w:right w:type="dxa" w:w="100"/>
            </w:tcMar>
          </w:tcPr>
          <w:p>
            <w:pPr>
              <w:jc w:val="right"/>
            </w:pPr>
            <w:r>
              <w:rPr>
                <w:b w:val="false"/>
                <w:bCs w:val="false"/>
                <w:i w:val="false"/>
                <w:iCs w:val="false"/>
              </w:rPr>
              <w:t xml:space="preserve">65.000,00</w:t>
            </w:r>
          </w:p>
        </w:tc>
      </w:tr>
    </w:tbl>
    <w:p>
      <w:pPr>
        <w:pStyle w:val="Heading1"/>
        <w:spacing w:after="150" w:before="300"/>
      </w:pPr>
      <w:r>
        <w:t xml:space="preserve">Perguntas</w:t>
      </w:r>
    </w:p>
    <w:p>
      <w:pPr>
        <w:spacing w:after="120"/>
      </w:pPr>
      <w:r>
        <w:t>a) Classifique cada gasto da metalúrgica em custo fixo, custo variável, despesa fixa ou despesa variável. Qual a margem de contribuição unitária e total de cada produto/serviço? Em seguida, elabore a DRE gerencial (custeio variável), por produto e total.</w:t>
      </w:r>
    </w:p>
    <w:p>
      <w:pPr>
        <w:spacing w:after="120"/>
      </w:pPr>
      <w:r>
        <w:t xml:space="preserve">b) Qual produto/serviço apresenta a maior margem de contribuição unitária? E a maior margem de contribuição total? Esses dois "vencedores" são necessariamente o mesmo? Por que isso pode acontecer?</w:t>
      </w:r>
    </w:p>
    <w:p>
      <w:pPr>
        <w:spacing w:after="120"/>
      </w:pPr>
      <w:r>
        <w:t xml:space="preserve">c) A máquina de corte a plasma tem capacidade de 4.200 horas/ano. Calcule quantas horas seriam necessárias para atender toda a demanda do ano (800 portões + 1.200 grades + 40 projetos de estruturas). Há um gargalo de capacidade? Calcule a margem de contribuição por hora-máquina de cada produto/serviço e determine a alocação ótima da capacidade disponível. A prioridade por margem de contribuição por hora é a mesma que a prioridade por margem de contribuição unitária (letra b)? Explique a diferença.</w:t>
      </w:r>
    </w:p>
    <w:p>
      <w:pPr>
        <w:spacing w:after="120"/>
      </w:pPr>
      <w:r>
        <w:t>d) Qual o ponto de equilíbrio da metalúrgica, em número de peças/projetos por ano, considerando o mix atual? Quantas unidades/projetos de cada produto/serviço ele representa? Considerando o volume efetivamente vendido no ano (800 + 1.200 + 40 = 2.040), qual a margem de segurança, em unidades/projetos e em percentual? (Calcule sem considerar a restrição de capacidade da letra c.)</w:t>
      </w:r>
    </w:p>
    <w:p>
      <w:pPr>
        <w:spacing w:after="120"/>
      </w:pPr>
      <w:r>
        <w:t xml:space="preserve">e) Um cliente propõe comprar um lote adicional de 200 portões por um preço reduzido de $ 700,00/unidade. Considerando a restrição de capacidade da letra c (a máquina de corte a plasma já está no limite), essa proposta deveria ser aceita? Que produção precisaria ser deslocada para viabilizá-la?</w:t>
      </w:r>
    </w:p>
    <w:p>
      <w:pPr>
        <w:spacing w:after="120"/>
      </w:pPr>
      <w:r>
        <w:t xml:space="preserve">f) Explique a diferença entre custeio por ordem de produção e custeio por processo. Por que as estruturas sob encomenda são custeadas por ordem, enquanto portões e grades padronizados são custeados por processo? O que aconteceria se a metalúrgica tentasse usar custeio por processo para as estruturas sob encomenda?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2026-09-24T14:15:48.832Z</dcterms:created>
  <dcterms:modified xsi:type="dcterms:W3CDTF">2026-09-24T14:15:48.832Z</dcterms:modified>
</cp:coreProperties>
</file>

<file path=docProps/custom.xml><?xml version="1.0" encoding="utf-8"?>
<Properties xmlns="http://schemas.openxmlformats.org/officeDocument/2006/custom-properties" xmlns:vt="http://schemas.openxmlformats.org/officeDocument/2006/docPropsVTypes"/>
</file>