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Agroindústria Grão Dourado — Custeio por Absorção</w:t>
      </w:r>
    </w:p>
    <w:p>
      <w:pPr>
        <w:spacing w:after="300"/>
      </w:pPr>
      <w:r>
        <w:rPr>
          <w:i/>
          <w:iCs/>
          <w:color w:val="555555"/>
        </w:rPr>
        <w:t xml:space="preserve">Rateio de custos indiretos de produção, custo unitário e DRE pelo custeio por absorção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Agroindústria Grão Dourado Ltda., localizada no norte de Mato Grosso, processa soja em grão recebida de produtores da região, transformando-a em três produtos: farelo de soja (usado como ração animal), óleo de soja refinado e proteína texturizada de soja (PTS, usada como ingrediente alimentício). Estima-se que a planta industrial permanecerá em operação por 20 anos. No último ano-safra, foram processados e vendidos 4.000.000 kg de farelo, 600.000 litros de óleo e 150.000 kg de PTS, com boa aceitação no mercado e sem formação de estoque de produtos acabados. A controladoria da empresa apura seus resultados pelo custeio por absorção, alocando todos os custos de produção (diretos e indiretos) aos produtos.</w:t>
      </w:r>
    </w:p>
    <w:p>
      <w:pPr>
        <w:pStyle w:val="Heading1"/>
        <w:spacing w:after="150" w:before="300"/>
      </w:pPr>
      <w:r>
        <w:t xml:space="preserve">Dados — Gastos incorridos no 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Farelo de soja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Óleo de soja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Farelo de soja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Óleo de soja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de soja em grão (matéria-prima, total do ano)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da prensa extrusora (expeller) de soja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da refinaria de óleo de soja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planta e dos equipamentos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 e computadores para o Setor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do total de soja adquirido, 50% foi consumido na produção de Farelo, 30% na de Óleo e 10% na de PTS (90% no total) — os 10% restantes permanecem em estoque. Vida útil: prensa extrusora 16 anos; refinaria 12 anos; móveis administrativos 10 anos.</w:t>
      </w:r>
    </w:p>
    <w:p>
      <w:pPr>
        <w:pStyle w:val="Heading1"/>
        <w:spacing w:after="150" w:before="300"/>
      </w:pPr>
      <w:r>
        <w:t xml:space="preserve">Dados — Volume, % de matéria-prima consumida e preço de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(un./ano)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matéria-prima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 (kg)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$ 1,35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 (L)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$ 7,20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 (kg)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$ 5,60</w:t>
            </w:r>
          </w:p>
        </w:tc>
      </w:tr>
    </w:tbl>
    <w:p>
      <w:pPr>
        <w:pStyle w:val="Heading1"/>
        <w:spacing w:after="150" w:before="300"/>
      </w:pPr>
      <w:r>
        <w:t xml:space="preserve">Dados — Despesas de venda por produto (despesas do período)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(%)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($/un.)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 (kg)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$ 0,03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 (L)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$ 0,35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 (kg)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$ 0,30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$ 0,25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 xml:space="preserve">a) Classifique cada gasto da agroindústria em custo direto de produção, custo indireto de produção (a ratear entre os produtos) ou despesa do período. Calcule o custo direto de produção total e unitário de cada produto.</w:t>
      </w:r>
    </w:p>
    <w:p>
      <w:pPr>
        <w:spacing w:after="120"/>
      </w:pPr>
      <w:r>
        <w:t xml:space="preserve">b) Os custos indiretos de produção (depreciação da prensa e da refinaria, seguro e manutenção) precisam ser rateados entre os três produtos. Faça o rateio proporcionalmente ao volume produzido de cada um e calcule o custo de produção total (direto + indireto) e o custo unitário de cada produto pelo custeio por absorção.</w:t>
      </w:r>
    </w:p>
    <w:p>
      <w:pPr>
        <w:spacing w:after="120"/>
      </w:pPr>
      <w:r>
        <w:t xml:space="preserve">c) Monte a Demonstração do Resultado (DRE) pelo custeio por absorção — receita, custo dos produtos vendidos (CPV), lucro bruto, despesas do período e resultado — usando o rateio da letra b.</w:t>
      </w:r>
    </w:p>
    <w:p>
      <w:pPr>
        <w:spacing w:after="120"/>
      </w:pPr>
      <w:r>
        <w:t xml:space="preserve">d) Refaça o rateio dos custos indiretos de produção, agora proporcionalmente ao valor da mão de obra direta (MOD) de cada produto, e recalcule o lucro bruto de cada um. O resultado total da empresa muda em relação à letra c? O que isso revela sobre o efeito do critério de rateio na rentabilidade aparente de cada produto?</w:t>
      </w:r>
    </w:p>
    <w:p>
      <w:pPr>
        <w:spacing w:after="120"/>
      </w:pPr>
      <w:r>
        <w:t xml:space="preserve">e) Um fornecedor terceirizado propõe entregar prontos os 150.000 kg de PTS do ano por $ 280.000,00, sem que a agroindústria precise mais produzi-la internamente (a prensa e a refinaria continuariam sendo usadas para Farelo e Óleo). Um analista júnior comparou essa proposta com o custo unitário de produção da PTS pelo custeio por absorção (letras b e d) para decidir. Essa comparação está correta? Refaça a análise da forma correta e conclua se a proposta deveria ser aceita.</w:t>
      </w:r>
    </w:p>
    <w:p>
      <w:pPr>
        <w:spacing w:after="120"/>
      </w:pPr>
      <w:r>
        <w:t xml:space="preserve">f) Em que situações o custeio por absorção é exigido ou mais adequado (ex.: demonstrações contábeis publicadas, apuração de imposto de renda, avaliação de estoques)? Por que ele não deve ser usado como base para decisões como a da letra 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2026-09-24T13:37:24.081Z</dcterms:created>
  <dcterms:modified xsi:type="dcterms:W3CDTF">2026-09-24T13:37:24.091Z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