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Confecções Serra do Cerrado — Custeio por Absorção — Gabarito Comentado</w:t>
      </w:r>
    </w:p>
    <w:p>
      <w:pPr>
        <w:spacing w:after="300"/>
      </w:pPr>
      <w:r>
        <w:rPr>
          <w:i/>
          <w:iCs/>
          <w:color w:val="555555"/>
        </w:rPr>
        <w:t xml:space="preserve">Resolução passo a passo — todos os valores calculados a partir dos dados do enunciado</w:t>
      </w:r>
    </w:p>
    <w:p>
      <w:pPr>
        <w:pStyle w:val="Heading1"/>
        <w:spacing w:after="150" w:before="300"/>
      </w:pPr>
      <w:r>
        <w:t xml:space="preserve">Passo 0 — Classificação de cada gasto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9E2F3" w:val="clear"/>
            <w:tcMar>
              <w:top w:type="dxa" w:w="80"/>
              <w:left w:type="dxa" w:w="100"/>
              <w:bottom w:type="dxa" w:w="80"/>
              <w:right w:type="dxa" w:w="100"/>
            </w:tcMar>
          </w:tcPr>
          <w:p>
            <w:pPr>
              <w:jc w:val="center"/>
            </w:pPr>
            <w:r>
              <w:rPr>
                <w:b/>
                <w:bCs/>
                <w:i w:val="false"/>
                <w:iCs w:val="false"/>
              </w:rPr>
              <w:t xml:space="preserve">Item</w:t>
            </w:r>
          </w:p>
        </w:tc>
        <w:tc>
          <w:tcPr>
            <w:tcW w:type="dxa" w:w="4680"/>
            <w:shd w:fill="D9E2F3" w:val="clear"/>
            <w:tcMar>
              <w:top w:type="dxa" w:w="80"/>
              <w:left w:type="dxa" w:w="100"/>
              <w:bottom w:type="dxa" w:w="80"/>
              <w:right w:type="dxa" w:w="100"/>
            </w:tcMar>
          </w:tcPr>
          <w:p>
            <w:pPr>
              <w:jc w:val="center"/>
            </w:pPr>
            <w:r>
              <w:rPr>
                <w:b/>
                <w:bCs/>
                <w:i w:val="false"/>
                <w:iCs w:val="false"/>
              </w:rPr>
              <w:t xml:space="preserve">Classificação</w:t>
            </w:r>
          </w:p>
        </w:tc>
      </w:tr>
      <w:tr>
        <w:tc>
          <w:tcPr>
            <w:tcW w:type="dxa" w:w="4680"/>
            <w:tcMar>
              <w:top w:type="dxa" w:w="80"/>
              <w:left w:type="dxa" w:w="100"/>
              <w:bottom w:type="dxa" w:w="80"/>
              <w:right w:type="dxa" w:w="100"/>
            </w:tcMar>
          </w:tcPr>
          <w:p>
            <w:pPr>
              <w:jc w:val="left"/>
            </w:pPr>
            <w:r>
              <w:rPr>
                <w:b w:val="false"/>
                <w:bCs w:val="false"/>
                <w:i w:val="false"/>
                <w:iCs w:val="false"/>
              </w:rPr>
              <w:t xml:space="preserve">MOD e tecido/aviamentos (por peça)</w:t>
            </w:r>
          </w:p>
        </w:tc>
        <w:tc>
          <w:tcPr>
            <w:tcW w:type="dxa" w:w="4680"/>
            <w:tcMar>
              <w:top w:type="dxa" w:w="80"/>
              <w:left w:type="dxa" w:w="100"/>
              <w:bottom w:type="dxa" w:w="80"/>
              <w:right w:type="dxa" w:w="100"/>
            </w:tcMar>
          </w:tcPr>
          <w:p>
            <w:pPr>
              <w:jc w:val="right"/>
            </w:pPr>
            <w:r>
              <w:rPr>
                <w:b w:val="false"/>
                <w:bCs w:val="false"/>
                <w:i w:val="false"/>
                <w:iCs w:val="false"/>
              </w:rPr>
              <w:t xml:space="preserve">Custo direto de produção</w:t>
            </w:r>
          </w:p>
        </w:tc>
      </w:tr>
      <w:tr>
        <w:tc>
          <w:tcPr>
            <w:tcW w:type="dxa" w:w="4680"/>
            <w:tcMar>
              <w:top w:type="dxa" w:w="80"/>
              <w:left w:type="dxa" w:w="100"/>
              <w:bottom w:type="dxa" w:w="80"/>
              <w:right w:type="dxa" w:w="100"/>
            </w:tcMar>
          </w:tcPr>
          <w:p>
            <w:pPr>
              <w:jc w:val="left"/>
            </w:pPr>
            <w:r>
              <w:rPr>
                <w:b w:val="false"/>
                <w:bCs w:val="false"/>
                <w:i w:val="false"/>
                <w:iCs w:val="false"/>
              </w:rPr>
              <w:t xml:space="preserve">Depreciação das máquinas, aluguel do galpão, supervisão, manutenção</w:t>
            </w:r>
          </w:p>
        </w:tc>
        <w:tc>
          <w:tcPr>
            <w:tcW w:type="dxa" w:w="4680"/>
            <w:tcMar>
              <w:top w:type="dxa" w:w="80"/>
              <w:left w:type="dxa" w:w="100"/>
              <w:bottom w:type="dxa" w:w="80"/>
              <w:right w:type="dxa" w:w="100"/>
            </w:tcMar>
          </w:tcPr>
          <w:p>
            <w:pPr>
              <w:jc w:val="right"/>
            </w:pPr>
            <w:r>
              <w:rPr>
                <w:b w:val="false"/>
                <w:bCs w:val="false"/>
                <w:i w:val="false"/>
                <w:iCs w:val="false"/>
              </w:rPr>
              <w:t xml:space="preserve">Custo indireto de produção (a ratear)</w:t>
            </w:r>
          </w:p>
        </w:tc>
      </w:tr>
      <w:tr>
        <w:tc>
          <w:tcPr>
            <w:tcW w:type="dxa" w:w="4680"/>
            <w:tcMar>
              <w:top w:type="dxa" w:w="80"/>
              <w:left w:type="dxa" w:w="100"/>
              <w:bottom w:type="dxa" w:w="80"/>
              <w:right w:type="dxa" w:w="100"/>
            </w:tcMar>
          </w:tcPr>
          <w:p>
            <w:pPr>
              <w:jc w:val="left"/>
            </w:pPr>
            <w:r>
              <w:rPr>
                <w:b w:val="false"/>
                <w:bCs w:val="false"/>
                <w:i w:val="false"/>
                <w:iCs w:val="false"/>
              </w:rPr>
              <w:t xml:space="preserve">Comissão de vendas, frete, embalagem</w:t>
            </w:r>
          </w:p>
        </w:tc>
        <w:tc>
          <w:tcPr>
            <w:tcW w:type="dxa" w:w="4680"/>
            <w:tcMar>
              <w:top w:type="dxa" w:w="80"/>
              <w:left w:type="dxa" w:w="100"/>
              <w:bottom w:type="dxa" w:w="80"/>
              <w:right w:type="dxa" w:w="100"/>
            </w:tcMar>
          </w:tcPr>
          <w:p>
            <w:pPr>
              <w:jc w:val="right"/>
            </w:pPr>
            <w:r>
              <w:rPr>
                <w:b w:val="false"/>
                <w:bCs w:val="false"/>
                <w:i w:val="false"/>
                <w:iCs w:val="false"/>
              </w:rPr>
              <w:t xml:space="preserve">Despesa do período (comercial)</w:t>
            </w:r>
          </w:p>
        </w:tc>
      </w:tr>
      <w:tr>
        <w:tc>
          <w:tcPr>
            <w:tcW w:type="dxa" w:w="4680"/>
            <w:tcMar>
              <w:top w:type="dxa" w:w="80"/>
              <w:left w:type="dxa" w:w="100"/>
              <w:bottom w:type="dxa" w:w="80"/>
              <w:right w:type="dxa" w:w="100"/>
            </w:tcMar>
          </w:tcPr>
          <w:p>
            <w:pPr>
              <w:jc w:val="left"/>
            </w:pPr>
            <w:r>
              <w:rPr>
                <w:b w:val="false"/>
                <w:bCs w:val="false"/>
                <w:i w:val="false"/>
                <w:iCs w:val="false"/>
              </w:rPr>
              <w:t xml:space="preserve">Salários administrativos, depreciação de móveis, gerente, aluguel</w:t>
            </w:r>
          </w:p>
        </w:tc>
        <w:tc>
          <w:tcPr>
            <w:tcW w:type="dxa" w:w="4680"/>
            <w:tcMar>
              <w:top w:type="dxa" w:w="80"/>
              <w:left w:type="dxa" w:w="100"/>
              <w:bottom w:type="dxa" w:w="80"/>
              <w:right w:type="dxa" w:w="100"/>
            </w:tcMar>
          </w:tcPr>
          <w:p>
            <w:pPr>
              <w:jc w:val="right"/>
            </w:pPr>
            <w:r>
              <w:rPr>
                <w:b w:val="false"/>
                <w:bCs w:val="false"/>
                <w:i w:val="false"/>
                <w:iCs w:val="false"/>
              </w:rPr>
              <w:t xml:space="preserve">Despesa do período (administrativa)</w:t>
            </w:r>
          </w:p>
        </w:tc>
      </w:tr>
    </w:tbl>
    <w:p>
      <w:pPr>
        <w:pStyle w:val="Heading1"/>
        <w:spacing w:after="150" w:before="300"/>
      </w:pPr>
      <w:r>
        <w:t xml:space="preserve">Passo 1 — Receita por produto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D9E2F3" w:val="clear"/>
            <w:tcMar>
              <w:top w:type="dxa" w:w="80"/>
              <w:left w:type="dxa" w:w="100"/>
              <w:bottom w:type="dxa" w:w="80"/>
              <w:right w:type="dxa" w:w="100"/>
            </w:tcMar>
          </w:tcPr>
          <w:p>
            <w:pPr>
              <w:jc w:val="center"/>
            </w:pPr>
            <w:r>
              <w:rPr>
                <w:b/>
                <w:bCs/>
                <w:i w:val="false"/>
                <w:iCs w:val="false"/>
              </w:rPr>
              <w:t xml:space="preserve">Produto</w:t>
            </w:r>
          </w:p>
        </w:tc>
        <w:tc>
          <w:tcPr>
            <w:tcW w:type="dxa" w:w="2340"/>
            <w:shd w:fill="D9E2F3" w:val="clear"/>
            <w:tcMar>
              <w:top w:type="dxa" w:w="80"/>
              <w:left w:type="dxa" w:w="100"/>
              <w:bottom w:type="dxa" w:w="80"/>
              <w:right w:type="dxa" w:w="100"/>
            </w:tcMar>
          </w:tcPr>
          <w:p>
            <w:pPr>
              <w:jc w:val="center"/>
            </w:pPr>
            <w:r>
              <w:rPr>
                <w:b/>
                <w:bCs/>
                <w:i w:val="false"/>
                <w:iCs w:val="false"/>
              </w:rPr>
              <w:t xml:space="preserve">Volume</w:t>
            </w:r>
          </w:p>
        </w:tc>
        <w:tc>
          <w:tcPr>
            <w:tcW w:type="dxa" w:w="2340"/>
            <w:shd w:fill="D9E2F3" w:val="clear"/>
            <w:tcMar>
              <w:top w:type="dxa" w:w="80"/>
              <w:left w:type="dxa" w:w="100"/>
              <w:bottom w:type="dxa" w:w="80"/>
              <w:right w:type="dxa" w:w="100"/>
            </w:tcMar>
          </w:tcPr>
          <w:p>
            <w:pPr>
              <w:jc w:val="center"/>
            </w:pPr>
            <w:r>
              <w:rPr>
                <w:b/>
                <w:bCs/>
                <w:i w:val="false"/>
                <w:iCs w:val="false"/>
              </w:rPr>
              <w:t xml:space="preserve">Preço ($)</w:t>
            </w:r>
          </w:p>
        </w:tc>
        <w:tc>
          <w:tcPr>
            <w:tcW w:type="dxa" w:w="2340"/>
            <w:shd w:fill="D9E2F3" w:val="clear"/>
            <w:tcMar>
              <w:top w:type="dxa" w:w="80"/>
              <w:left w:type="dxa" w:w="100"/>
              <w:bottom w:type="dxa" w:w="80"/>
              <w:right w:type="dxa" w:w="100"/>
            </w:tcMar>
          </w:tcPr>
          <w:p>
            <w:pPr>
              <w:jc w:val="center"/>
            </w:pPr>
            <w:r>
              <w:rPr>
                <w:b/>
                <w:bCs/>
                <w:i w:val="false"/>
                <w:iCs w:val="false"/>
              </w:rPr>
              <w:t xml:space="preserve">Receita ($)</w:t>
            </w:r>
          </w:p>
        </w:tc>
      </w:tr>
      <w:tr>
        <w:tc>
          <w:tcPr>
            <w:tcW w:type="dxa" w:w="2340"/>
            <w:tcMar>
              <w:top w:type="dxa" w:w="80"/>
              <w:left w:type="dxa" w:w="100"/>
              <w:bottom w:type="dxa" w:w="80"/>
              <w:right w:type="dxa" w:w="100"/>
            </w:tcMar>
          </w:tcPr>
          <w:p>
            <w:pPr>
              <w:jc w:val="left"/>
            </w:pPr>
            <w:r>
              <w:rPr>
                <w:b w:val="false"/>
                <w:bCs w:val="false"/>
                <w:i w:val="false"/>
                <w:iCs w:val="false"/>
              </w:rPr>
              <w:t xml:space="preserve">Camisas</w:t>
            </w:r>
          </w:p>
        </w:tc>
        <w:tc>
          <w:tcPr>
            <w:tcW w:type="dxa" w:w="2340"/>
            <w:tcMar>
              <w:top w:type="dxa" w:w="80"/>
              <w:left w:type="dxa" w:w="100"/>
              <w:bottom w:type="dxa" w:w="80"/>
              <w:right w:type="dxa" w:w="100"/>
            </w:tcMar>
          </w:tcPr>
          <w:p>
            <w:pPr>
              <w:jc w:val="right"/>
            </w:pPr>
            <w:r>
              <w:rPr>
                <w:b w:val="false"/>
                <w:bCs w:val="false"/>
                <w:i w:val="false"/>
                <w:iCs w:val="false"/>
              </w:rPr>
              <w:t xml:space="preserve">40.000</w:t>
            </w:r>
          </w:p>
        </w:tc>
        <w:tc>
          <w:tcPr>
            <w:tcW w:type="dxa" w:w="2340"/>
            <w:tcMar>
              <w:top w:type="dxa" w:w="80"/>
              <w:left w:type="dxa" w:w="100"/>
              <w:bottom w:type="dxa" w:w="80"/>
              <w:right w:type="dxa" w:w="100"/>
            </w:tcMar>
          </w:tcPr>
          <w:p>
            <w:pPr>
              <w:jc w:val="right"/>
            </w:pPr>
            <w:r>
              <w:rPr>
                <w:b w:val="false"/>
                <w:bCs w:val="false"/>
                <w:i w:val="false"/>
                <w:iCs w:val="false"/>
              </w:rPr>
              <w:t xml:space="preserve">$ 32,00</w:t>
            </w:r>
          </w:p>
        </w:tc>
        <w:tc>
          <w:tcPr>
            <w:tcW w:type="dxa" w:w="2340"/>
            <w:tcMar>
              <w:top w:type="dxa" w:w="80"/>
              <w:left w:type="dxa" w:w="100"/>
              <w:bottom w:type="dxa" w:w="80"/>
              <w:right w:type="dxa" w:w="100"/>
            </w:tcMar>
          </w:tcPr>
          <w:p>
            <w:pPr>
              <w:jc w:val="right"/>
            </w:pPr>
            <w:r>
              <w:rPr>
                <w:b w:val="false"/>
                <w:bCs w:val="false"/>
                <w:i w:val="false"/>
                <w:iCs w:val="false"/>
              </w:rPr>
              <w:t xml:space="preserve">1.280.000,00</w:t>
            </w:r>
          </w:p>
        </w:tc>
      </w:tr>
      <w:tr>
        <w:tc>
          <w:tcPr>
            <w:tcW w:type="dxa" w:w="2340"/>
            <w:tcMar>
              <w:top w:type="dxa" w:w="80"/>
              <w:left w:type="dxa" w:w="100"/>
              <w:bottom w:type="dxa" w:w="80"/>
              <w:right w:type="dxa" w:w="100"/>
            </w:tcMar>
          </w:tcPr>
          <w:p>
            <w:pPr>
              <w:jc w:val="left"/>
            </w:pPr>
            <w:r>
              <w:rPr>
                <w:b w:val="false"/>
                <w:bCs w:val="false"/>
                <w:i w:val="false"/>
                <w:iCs w:val="false"/>
              </w:rPr>
              <w:t xml:space="preserve">Calças jeans</w:t>
            </w:r>
          </w:p>
        </w:tc>
        <w:tc>
          <w:tcPr>
            <w:tcW w:type="dxa" w:w="2340"/>
            <w:tcMar>
              <w:top w:type="dxa" w:w="80"/>
              <w:left w:type="dxa" w:w="100"/>
              <w:bottom w:type="dxa" w:w="80"/>
              <w:right w:type="dxa" w:w="100"/>
            </w:tcMar>
          </w:tcPr>
          <w:p>
            <w:pPr>
              <w:jc w:val="right"/>
            </w:pPr>
            <w:r>
              <w:rPr>
                <w:b w:val="false"/>
                <w:bCs w:val="false"/>
                <w:i w:val="false"/>
                <w:iCs w:val="false"/>
              </w:rPr>
              <w:t xml:space="preserve">20.000</w:t>
            </w:r>
          </w:p>
        </w:tc>
        <w:tc>
          <w:tcPr>
            <w:tcW w:type="dxa" w:w="2340"/>
            <w:tcMar>
              <w:top w:type="dxa" w:w="80"/>
              <w:left w:type="dxa" w:w="100"/>
              <w:bottom w:type="dxa" w:w="80"/>
              <w:right w:type="dxa" w:w="100"/>
            </w:tcMar>
          </w:tcPr>
          <w:p>
            <w:pPr>
              <w:jc w:val="right"/>
            </w:pPr>
            <w:r>
              <w:rPr>
                <w:b w:val="false"/>
                <w:bCs w:val="false"/>
                <w:i w:val="false"/>
                <w:iCs w:val="false"/>
              </w:rPr>
              <w:t xml:space="preserve">$ 68,00</w:t>
            </w:r>
          </w:p>
        </w:tc>
        <w:tc>
          <w:tcPr>
            <w:tcW w:type="dxa" w:w="2340"/>
            <w:tcMar>
              <w:top w:type="dxa" w:w="80"/>
              <w:left w:type="dxa" w:w="100"/>
              <w:bottom w:type="dxa" w:w="80"/>
              <w:right w:type="dxa" w:w="100"/>
            </w:tcMar>
          </w:tcPr>
          <w:p>
            <w:pPr>
              <w:jc w:val="right"/>
            </w:pPr>
            <w:r>
              <w:rPr>
                <w:b w:val="false"/>
                <w:bCs w:val="false"/>
                <w:i w:val="false"/>
                <w:iCs w:val="false"/>
              </w:rPr>
              <w:t xml:space="preserve">1.360.000,00</w:t>
            </w:r>
          </w:p>
        </w:tc>
      </w:tr>
      <w:tr>
        <w:tc>
          <w:tcPr>
            <w:tcW w:type="dxa" w:w="2340"/>
            <w:tcMar>
              <w:top w:type="dxa" w:w="80"/>
              <w:left w:type="dxa" w:w="100"/>
              <w:bottom w:type="dxa" w:w="80"/>
              <w:right w:type="dxa" w:w="100"/>
            </w:tcMar>
          </w:tcPr>
          <w:p>
            <w:pPr>
              <w:jc w:val="left"/>
            </w:pPr>
            <w:r>
              <w:rPr>
                <w:b w:val="false"/>
                <w:bCs w:val="false"/>
                <w:i w:val="false"/>
                <w:iCs w:val="false"/>
              </w:rPr>
              <w:t xml:space="preserve">Uniformes</w:t>
            </w:r>
          </w:p>
        </w:tc>
        <w:tc>
          <w:tcPr>
            <w:tcW w:type="dxa" w:w="2340"/>
            <w:tcMar>
              <w:top w:type="dxa" w:w="80"/>
              <w:left w:type="dxa" w:w="100"/>
              <w:bottom w:type="dxa" w:w="80"/>
              <w:right w:type="dxa" w:w="100"/>
            </w:tcMar>
          </w:tcPr>
          <w:p>
            <w:pPr>
              <w:jc w:val="right"/>
            </w:pPr>
            <w:r>
              <w:rPr>
                <w:b w:val="false"/>
                <w:bCs w:val="false"/>
                <w:i w:val="false"/>
                <w:iCs w:val="false"/>
              </w:rPr>
              <w:t xml:space="preserve">20.000</w:t>
            </w:r>
          </w:p>
        </w:tc>
        <w:tc>
          <w:tcPr>
            <w:tcW w:type="dxa" w:w="2340"/>
            <w:tcMar>
              <w:top w:type="dxa" w:w="80"/>
              <w:left w:type="dxa" w:w="100"/>
              <w:bottom w:type="dxa" w:w="80"/>
              <w:right w:type="dxa" w:w="100"/>
            </w:tcMar>
          </w:tcPr>
          <w:p>
            <w:pPr>
              <w:jc w:val="right"/>
            </w:pPr>
            <w:r>
              <w:rPr>
                <w:b w:val="false"/>
                <w:bCs w:val="false"/>
                <w:i w:val="false"/>
                <w:iCs w:val="false"/>
              </w:rPr>
              <w:t xml:space="preserve">$ 45,00</w:t>
            </w:r>
          </w:p>
        </w:tc>
        <w:tc>
          <w:tcPr>
            <w:tcW w:type="dxa" w:w="2340"/>
            <w:tcMar>
              <w:top w:type="dxa" w:w="80"/>
              <w:left w:type="dxa" w:w="100"/>
              <w:bottom w:type="dxa" w:w="80"/>
              <w:right w:type="dxa" w:w="100"/>
            </w:tcMar>
          </w:tcPr>
          <w:p>
            <w:pPr>
              <w:jc w:val="right"/>
            </w:pPr>
            <w:r>
              <w:rPr>
                <w:b w:val="false"/>
                <w:bCs w:val="false"/>
                <w:i w:val="false"/>
                <w:iCs w:val="false"/>
              </w:rPr>
              <w:t xml:space="preserve">900.000,00</w:t>
            </w:r>
          </w:p>
        </w:tc>
      </w:tr>
      <w:tr>
        <w:tc>
          <w:tcPr>
            <w:tcW w:type="dxa" w:w="2340"/>
            <w:tcMar>
              <w:top w:type="dxa" w:w="80"/>
              <w:left w:type="dxa" w:w="100"/>
              <w:bottom w:type="dxa" w:w="80"/>
              <w:right w:type="dxa" w:w="100"/>
            </w:tcMar>
          </w:tcPr>
          <w:p>
            <w:pPr>
              <w:jc w:val="left"/>
            </w:pPr>
            <w:r>
              <w:rPr>
                <w:b w:val="false"/>
                <w:bCs w:val="false"/>
                <w:i w:val="false"/>
                <w:iCs w:val="false"/>
              </w:rPr>
              <w:t xml:space="preserve">Total</w:t>
            </w:r>
          </w:p>
        </w:tc>
        <w:tc>
          <w:tcPr>
            <w:tcW w:type="dxa" w:w="2340"/>
            <w:tcMar>
              <w:top w:type="dxa" w:w="80"/>
              <w:left w:type="dxa" w:w="100"/>
              <w:bottom w:type="dxa" w:w="80"/>
              <w:right w:type="dxa" w:w="100"/>
            </w:tcMar>
          </w:tcPr>
          <w:p>
            <w:pPr>
              <w:jc w:val="right"/>
            </w:pPr>
            <w:r>
              <w:rPr>
                <w:b w:val="false"/>
                <w:bCs w:val="false"/>
                <w:i w:val="false"/>
                <w:iCs w:val="false"/>
              </w:rPr>
              <w:t xml:space="preserve">80.000</w:t>
            </w:r>
          </w:p>
        </w:tc>
        <w:tc>
          <w:tcPr>
            <w:tcW w:type="dxa" w:w="2340"/>
            <w:tcMar>
              <w:top w:type="dxa" w:w="80"/>
              <w:left w:type="dxa" w:w="100"/>
              <w:bottom w:type="dxa" w:w="80"/>
              <w:right w:type="dxa" w:w="100"/>
            </w:tcMar>
          </w:tcPr>
          <w:p>
            <w:pPr>
              <w:jc w:val="right"/>
            </w:pPr>
            <w:r>
              <w:rPr>
                <w:b w:val="false"/>
                <w:bCs w:val="false"/>
                <w:i w:val="false"/>
                <w:iCs w:val="false"/>
              </w:rPr>
              <w:t xml:space="preserve"/>
            </w:r>
          </w:p>
        </w:tc>
        <w:tc>
          <w:tcPr>
            <w:tcW w:type="dxa" w:w="2340"/>
            <w:tcMar>
              <w:top w:type="dxa" w:w="80"/>
              <w:left w:type="dxa" w:w="100"/>
              <w:bottom w:type="dxa" w:w="80"/>
              <w:right w:type="dxa" w:w="100"/>
            </w:tcMar>
          </w:tcPr>
          <w:p>
            <w:pPr>
              <w:jc w:val="right"/>
            </w:pPr>
            <w:r>
              <w:rPr>
                <w:b w:val="false"/>
                <w:bCs w:val="false"/>
                <w:i w:val="false"/>
                <w:iCs w:val="false"/>
              </w:rPr>
              <w:t xml:space="preserve">3.540.000,00</w:t>
            </w:r>
          </w:p>
        </w:tc>
      </w:tr>
    </w:tbl>
    <w:p>
      <w:pPr>
        <w:pStyle w:val="Heading1"/>
        <w:spacing w:after="150" w:before="300"/>
      </w:pPr>
      <w:r>
        <w:t xml:space="preserve">a) Custo direto de produção por produto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D9E2F3" w:val="clear"/>
            <w:tcMar>
              <w:top w:type="dxa" w:w="80"/>
              <w:left w:type="dxa" w:w="100"/>
              <w:bottom w:type="dxa" w:w="80"/>
              <w:right w:type="dxa" w:w="100"/>
            </w:tcMar>
          </w:tcPr>
          <w:p>
            <w:pPr>
              <w:jc w:val="center"/>
            </w:pPr>
            <w:r>
              <w:rPr>
                <w:b/>
                <w:bCs/>
                <w:i w:val="false"/>
                <w:iCs w:val="false"/>
              </w:rPr>
              <w:t xml:space="preserve">Produto</w:t>
            </w:r>
          </w:p>
        </w:tc>
        <w:tc>
          <w:tcPr>
            <w:tcW w:type="dxa" w:w="1872"/>
            <w:shd w:fill="D9E2F3" w:val="clear"/>
            <w:tcMar>
              <w:top w:type="dxa" w:w="80"/>
              <w:left w:type="dxa" w:w="100"/>
              <w:bottom w:type="dxa" w:w="80"/>
              <w:right w:type="dxa" w:w="100"/>
            </w:tcMar>
          </w:tcPr>
          <w:p>
            <w:pPr>
              <w:jc w:val="center"/>
            </w:pPr>
            <w:r>
              <w:rPr>
                <w:b/>
                <w:bCs/>
                <w:i w:val="false"/>
                <w:iCs w:val="false"/>
              </w:rPr>
              <w:t xml:space="preserve">MOD ($)</w:t>
            </w:r>
          </w:p>
        </w:tc>
        <w:tc>
          <w:tcPr>
            <w:tcW w:type="dxa" w:w="1872"/>
            <w:shd w:fill="D9E2F3" w:val="clear"/>
            <w:tcMar>
              <w:top w:type="dxa" w:w="80"/>
              <w:left w:type="dxa" w:w="100"/>
              <w:bottom w:type="dxa" w:w="80"/>
              <w:right w:type="dxa" w:w="100"/>
            </w:tcMar>
          </w:tcPr>
          <w:p>
            <w:pPr>
              <w:jc w:val="center"/>
            </w:pPr>
            <w:r>
              <w:rPr>
                <w:b/>
                <w:bCs/>
                <w:i w:val="false"/>
                <w:iCs w:val="false"/>
              </w:rPr>
              <w:t xml:space="preserve">Tecido/aviamentos ($)</w:t>
            </w:r>
          </w:p>
        </w:tc>
        <w:tc>
          <w:tcPr>
            <w:tcW w:type="dxa" w:w="1872"/>
            <w:shd w:fill="D9E2F3" w:val="clear"/>
            <w:tcMar>
              <w:top w:type="dxa" w:w="80"/>
              <w:left w:type="dxa" w:w="100"/>
              <w:bottom w:type="dxa" w:w="80"/>
              <w:right w:type="dxa" w:w="100"/>
            </w:tcMar>
          </w:tcPr>
          <w:p>
            <w:pPr>
              <w:jc w:val="center"/>
            </w:pPr>
            <w:r>
              <w:rPr>
                <w:b/>
                <w:bCs/>
                <w:i w:val="false"/>
                <w:iCs w:val="false"/>
              </w:rPr>
              <w:t xml:space="preserve">Custo direto total ($)</w:t>
            </w:r>
          </w:p>
        </w:tc>
        <w:tc>
          <w:tcPr>
            <w:tcW w:type="dxa" w:w="1872"/>
            <w:shd w:fill="D9E2F3" w:val="clear"/>
            <w:tcMar>
              <w:top w:type="dxa" w:w="80"/>
              <w:left w:type="dxa" w:w="100"/>
              <w:bottom w:type="dxa" w:w="80"/>
              <w:right w:type="dxa" w:w="100"/>
            </w:tcMar>
          </w:tcPr>
          <w:p>
            <w:pPr>
              <w:jc w:val="center"/>
            </w:pPr>
            <w:r>
              <w:rPr>
                <w:b/>
                <w:bCs/>
                <w:i w:val="false"/>
                <w:iCs w:val="false"/>
              </w:rPr>
              <w:t xml:space="preserve">Custo direto unit. ($)</w:t>
            </w:r>
          </w:p>
        </w:tc>
      </w:tr>
      <w:tr>
        <w:tc>
          <w:tcPr>
            <w:tcW w:type="dxa" w:w="1872"/>
            <w:tcMar>
              <w:top w:type="dxa" w:w="80"/>
              <w:left w:type="dxa" w:w="100"/>
              <w:bottom w:type="dxa" w:w="80"/>
              <w:right w:type="dxa" w:w="100"/>
            </w:tcMar>
          </w:tcPr>
          <w:p>
            <w:pPr>
              <w:jc w:val="left"/>
            </w:pPr>
            <w:r>
              <w:rPr>
                <w:b w:val="false"/>
                <w:bCs w:val="false"/>
                <w:i w:val="false"/>
                <w:iCs w:val="false"/>
              </w:rPr>
              <w:t xml:space="preserve">Camisas</w:t>
            </w:r>
          </w:p>
        </w:tc>
        <w:tc>
          <w:tcPr>
            <w:tcW w:type="dxa" w:w="1872"/>
            <w:tcMar>
              <w:top w:type="dxa" w:w="80"/>
              <w:left w:type="dxa" w:w="100"/>
              <w:bottom w:type="dxa" w:w="80"/>
              <w:right w:type="dxa" w:w="100"/>
            </w:tcMar>
          </w:tcPr>
          <w:p>
            <w:pPr>
              <w:jc w:val="right"/>
            </w:pPr>
            <w:r>
              <w:rPr>
                <w:b w:val="false"/>
                <w:bCs w:val="false"/>
                <w:i w:val="false"/>
                <w:iCs w:val="false"/>
              </w:rPr>
              <w:t xml:space="preserve">128.000,00</w:t>
            </w:r>
          </w:p>
        </w:tc>
        <w:tc>
          <w:tcPr>
            <w:tcW w:type="dxa" w:w="1872"/>
            <w:tcMar>
              <w:top w:type="dxa" w:w="80"/>
              <w:left w:type="dxa" w:w="100"/>
              <w:bottom w:type="dxa" w:w="80"/>
              <w:right w:type="dxa" w:w="100"/>
            </w:tcMar>
          </w:tcPr>
          <w:p>
            <w:pPr>
              <w:jc w:val="right"/>
            </w:pPr>
            <w:r>
              <w:rPr>
                <w:b w:val="false"/>
                <w:bCs w:val="false"/>
                <w:i w:val="false"/>
                <w:iCs w:val="false"/>
              </w:rPr>
              <w:t xml:space="preserve">192.000,00</w:t>
            </w:r>
          </w:p>
        </w:tc>
        <w:tc>
          <w:tcPr>
            <w:tcW w:type="dxa" w:w="1872"/>
            <w:tcMar>
              <w:top w:type="dxa" w:w="80"/>
              <w:left w:type="dxa" w:w="100"/>
              <w:bottom w:type="dxa" w:w="80"/>
              <w:right w:type="dxa" w:w="100"/>
            </w:tcMar>
          </w:tcPr>
          <w:p>
            <w:pPr>
              <w:jc w:val="right"/>
            </w:pPr>
            <w:r>
              <w:rPr>
                <w:b w:val="false"/>
                <w:bCs w:val="false"/>
                <w:i w:val="false"/>
                <w:iCs w:val="false"/>
              </w:rPr>
              <w:t xml:space="preserve">320.000,00</w:t>
            </w:r>
          </w:p>
        </w:tc>
        <w:tc>
          <w:tcPr>
            <w:tcW w:type="dxa" w:w="1872"/>
            <w:tcMar>
              <w:top w:type="dxa" w:w="80"/>
              <w:left w:type="dxa" w:w="100"/>
              <w:bottom w:type="dxa" w:w="80"/>
              <w:right w:type="dxa" w:w="100"/>
            </w:tcMar>
          </w:tcPr>
          <w:p>
            <w:pPr>
              <w:jc w:val="right"/>
            </w:pPr>
            <w:r>
              <w:rPr>
                <w:b w:val="false"/>
                <w:bCs w:val="false"/>
                <w:i w:val="false"/>
                <w:iCs w:val="false"/>
              </w:rPr>
              <w:t xml:space="preserve">8,0000</w:t>
            </w:r>
          </w:p>
        </w:tc>
      </w:tr>
      <w:tr>
        <w:tc>
          <w:tcPr>
            <w:tcW w:type="dxa" w:w="1872"/>
            <w:tcMar>
              <w:top w:type="dxa" w:w="80"/>
              <w:left w:type="dxa" w:w="100"/>
              <w:bottom w:type="dxa" w:w="80"/>
              <w:right w:type="dxa" w:w="100"/>
            </w:tcMar>
          </w:tcPr>
          <w:p>
            <w:pPr>
              <w:jc w:val="left"/>
            </w:pPr>
            <w:r>
              <w:rPr>
                <w:b w:val="false"/>
                <w:bCs w:val="false"/>
                <w:i w:val="false"/>
                <w:iCs w:val="false"/>
              </w:rPr>
              <w:t xml:space="preserve">Calças jeans</w:t>
            </w:r>
          </w:p>
        </w:tc>
        <w:tc>
          <w:tcPr>
            <w:tcW w:type="dxa" w:w="1872"/>
            <w:tcMar>
              <w:top w:type="dxa" w:w="80"/>
              <w:left w:type="dxa" w:w="100"/>
              <w:bottom w:type="dxa" w:w="80"/>
              <w:right w:type="dxa" w:w="100"/>
            </w:tcMar>
          </w:tcPr>
          <w:p>
            <w:pPr>
              <w:jc w:val="right"/>
            </w:pPr>
            <w:r>
              <w:rPr>
                <w:b w:val="false"/>
                <w:bCs w:val="false"/>
                <w:i w:val="false"/>
                <w:iCs w:val="false"/>
              </w:rPr>
              <w:t xml:space="preserve">130.000,00</w:t>
            </w:r>
          </w:p>
        </w:tc>
        <w:tc>
          <w:tcPr>
            <w:tcW w:type="dxa" w:w="1872"/>
            <w:tcMar>
              <w:top w:type="dxa" w:w="80"/>
              <w:left w:type="dxa" w:w="100"/>
              <w:bottom w:type="dxa" w:w="80"/>
              <w:right w:type="dxa" w:w="100"/>
            </w:tcMar>
          </w:tcPr>
          <w:p>
            <w:pPr>
              <w:jc w:val="right"/>
            </w:pPr>
            <w:r>
              <w:rPr>
                <w:b w:val="false"/>
                <w:bCs w:val="false"/>
                <w:i w:val="false"/>
                <w:iCs w:val="false"/>
              </w:rPr>
              <w:t xml:space="preserve">240.000,00</w:t>
            </w:r>
          </w:p>
        </w:tc>
        <w:tc>
          <w:tcPr>
            <w:tcW w:type="dxa" w:w="1872"/>
            <w:tcMar>
              <w:top w:type="dxa" w:w="80"/>
              <w:left w:type="dxa" w:w="100"/>
              <w:bottom w:type="dxa" w:w="80"/>
              <w:right w:type="dxa" w:w="100"/>
            </w:tcMar>
          </w:tcPr>
          <w:p>
            <w:pPr>
              <w:jc w:val="right"/>
            </w:pPr>
            <w:r>
              <w:rPr>
                <w:b w:val="false"/>
                <w:bCs w:val="false"/>
                <w:i w:val="false"/>
                <w:iCs w:val="false"/>
              </w:rPr>
              <w:t xml:space="preserve">370.000,00</w:t>
            </w:r>
          </w:p>
        </w:tc>
        <w:tc>
          <w:tcPr>
            <w:tcW w:type="dxa" w:w="1872"/>
            <w:tcMar>
              <w:top w:type="dxa" w:w="80"/>
              <w:left w:type="dxa" w:w="100"/>
              <w:bottom w:type="dxa" w:w="80"/>
              <w:right w:type="dxa" w:w="100"/>
            </w:tcMar>
          </w:tcPr>
          <w:p>
            <w:pPr>
              <w:jc w:val="right"/>
            </w:pPr>
            <w:r>
              <w:rPr>
                <w:b w:val="false"/>
                <w:bCs w:val="false"/>
                <w:i w:val="false"/>
                <w:iCs w:val="false"/>
              </w:rPr>
              <w:t xml:space="preserve">18,5000</w:t>
            </w:r>
          </w:p>
        </w:tc>
      </w:tr>
      <w:tr>
        <w:tc>
          <w:tcPr>
            <w:tcW w:type="dxa" w:w="1872"/>
            <w:tcMar>
              <w:top w:type="dxa" w:w="80"/>
              <w:left w:type="dxa" w:w="100"/>
              <w:bottom w:type="dxa" w:w="80"/>
              <w:right w:type="dxa" w:w="100"/>
            </w:tcMar>
          </w:tcPr>
          <w:p>
            <w:pPr>
              <w:jc w:val="left"/>
            </w:pPr>
            <w:r>
              <w:rPr>
                <w:b w:val="false"/>
                <w:bCs w:val="false"/>
                <w:i w:val="false"/>
                <w:iCs w:val="false"/>
              </w:rPr>
              <w:t xml:space="preserve">Uniformes</w:t>
            </w:r>
          </w:p>
        </w:tc>
        <w:tc>
          <w:tcPr>
            <w:tcW w:type="dxa" w:w="1872"/>
            <w:tcMar>
              <w:top w:type="dxa" w:w="80"/>
              <w:left w:type="dxa" w:w="100"/>
              <w:bottom w:type="dxa" w:w="80"/>
              <w:right w:type="dxa" w:w="100"/>
            </w:tcMar>
          </w:tcPr>
          <w:p>
            <w:pPr>
              <w:jc w:val="right"/>
            </w:pPr>
            <w:r>
              <w:rPr>
                <w:b w:val="false"/>
                <w:bCs w:val="false"/>
                <w:i w:val="false"/>
                <w:iCs w:val="false"/>
              </w:rPr>
              <w:t xml:space="preserve">100.000,00</w:t>
            </w:r>
          </w:p>
        </w:tc>
        <w:tc>
          <w:tcPr>
            <w:tcW w:type="dxa" w:w="1872"/>
            <w:tcMar>
              <w:top w:type="dxa" w:w="80"/>
              <w:left w:type="dxa" w:w="100"/>
              <w:bottom w:type="dxa" w:w="80"/>
              <w:right w:type="dxa" w:w="100"/>
            </w:tcMar>
          </w:tcPr>
          <w:p>
            <w:pPr>
              <w:jc w:val="right"/>
            </w:pPr>
            <w:r>
              <w:rPr>
                <w:b w:val="false"/>
                <w:bCs w:val="false"/>
                <w:i w:val="false"/>
                <w:iCs w:val="false"/>
              </w:rPr>
              <w:t xml:space="preserve">180.000,00</w:t>
            </w:r>
          </w:p>
        </w:tc>
        <w:tc>
          <w:tcPr>
            <w:tcW w:type="dxa" w:w="1872"/>
            <w:tcMar>
              <w:top w:type="dxa" w:w="80"/>
              <w:left w:type="dxa" w:w="100"/>
              <w:bottom w:type="dxa" w:w="80"/>
              <w:right w:type="dxa" w:w="100"/>
            </w:tcMar>
          </w:tcPr>
          <w:p>
            <w:pPr>
              <w:jc w:val="right"/>
            </w:pPr>
            <w:r>
              <w:rPr>
                <w:b w:val="false"/>
                <w:bCs w:val="false"/>
                <w:i w:val="false"/>
                <w:iCs w:val="false"/>
              </w:rPr>
              <w:t xml:space="preserve">280.000,00</w:t>
            </w:r>
          </w:p>
        </w:tc>
        <w:tc>
          <w:tcPr>
            <w:tcW w:type="dxa" w:w="1872"/>
            <w:tcMar>
              <w:top w:type="dxa" w:w="80"/>
              <w:left w:type="dxa" w:w="100"/>
              <w:bottom w:type="dxa" w:w="80"/>
              <w:right w:type="dxa" w:w="100"/>
            </w:tcMar>
          </w:tcPr>
          <w:p>
            <w:pPr>
              <w:jc w:val="right"/>
            </w:pPr>
            <w:r>
              <w:rPr>
                <w:b w:val="false"/>
                <w:bCs w:val="false"/>
                <w:i w:val="false"/>
                <w:iCs w:val="false"/>
              </w:rPr>
              <w:t xml:space="preserve">14,0000</w:t>
            </w:r>
          </w:p>
        </w:tc>
      </w:tr>
      <w:tr>
        <w:tc>
          <w:tcPr>
            <w:tcW w:type="dxa" w:w="1872"/>
            <w:tcMar>
              <w:top w:type="dxa" w:w="80"/>
              <w:left w:type="dxa" w:w="100"/>
              <w:bottom w:type="dxa" w:w="80"/>
              <w:right w:type="dxa" w:w="100"/>
            </w:tcMar>
          </w:tcPr>
          <w:p>
            <w:pPr>
              <w:jc w:val="left"/>
            </w:pPr>
            <w:r>
              <w:rPr>
                <w:b w:val="false"/>
                <w:bCs w:val="false"/>
                <w:i w:val="false"/>
                <w:iCs w:val="false"/>
              </w:rPr>
              <w:t xml:space="preserve">Total</w:t>
            </w:r>
          </w:p>
        </w:tc>
        <w:tc>
          <w:tcPr>
            <w:tcW w:type="dxa" w:w="1872"/>
            <w:tcMar>
              <w:top w:type="dxa" w:w="80"/>
              <w:left w:type="dxa" w:w="100"/>
              <w:bottom w:type="dxa" w:w="80"/>
              <w:right w:type="dxa" w:w="100"/>
            </w:tcMar>
          </w:tcPr>
          <w:p>
            <w:pPr>
              <w:jc w:val="right"/>
            </w:pPr>
            <w:r>
              <w:rPr>
                <w:b w:val="false"/>
                <w:bCs w:val="false"/>
                <w:i w:val="false"/>
                <w:iCs w:val="false"/>
              </w:rPr>
              <w:t xml:space="preserve">358.000,00</w:t>
            </w:r>
          </w:p>
        </w:tc>
        <w:tc>
          <w:tcPr>
            <w:tcW w:type="dxa" w:w="1872"/>
            <w:tcMar>
              <w:top w:type="dxa" w:w="80"/>
              <w:left w:type="dxa" w:w="100"/>
              <w:bottom w:type="dxa" w:w="80"/>
              <w:right w:type="dxa" w:w="100"/>
            </w:tcMar>
          </w:tcPr>
          <w:p>
            <w:pPr>
              <w:jc w:val="right"/>
            </w:pPr>
            <w:r>
              <w:rPr>
                <w:b w:val="false"/>
                <w:bCs w:val="false"/>
                <w:i w:val="false"/>
                <w:iCs w:val="false"/>
              </w:rPr>
              <w:t xml:space="preserve">612.000,00</w:t>
            </w:r>
          </w:p>
        </w:tc>
        <w:tc>
          <w:tcPr>
            <w:tcW w:type="dxa" w:w="1872"/>
            <w:tcMar>
              <w:top w:type="dxa" w:w="80"/>
              <w:left w:type="dxa" w:w="100"/>
              <w:bottom w:type="dxa" w:w="80"/>
              <w:right w:type="dxa" w:w="100"/>
            </w:tcMar>
          </w:tcPr>
          <w:p>
            <w:pPr>
              <w:jc w:val="right"/>
            </w:pPr>
            <w:r>
              <w:rPr>
                <w:b w:val="false"/>
                <w:bCs w:val="false"/>
                <w:i w:val="false"/>
                <w:iCs w:val="false"/>
              </w:rPr>
              <w:t xml:space="preserve">970.000,00</w:t>
            </w:r>
          </w:p>
        </w:tc>
        <w:tc>
          <w:tcPr>
            <w:tcW w:type="dxa" w:w="1872"/>
            <w:tcMar>
              <w:top w:type="dxa" w:w="80"/>
              <w:left w:type="dxa" w:w="100"/>
              <w:bottom w:type="dxa" w:w="80"/>
              <w:right w:type="dxa" w:w="100"/>
            </w:tcMar>
          </w:tcPr>
          <w:p>
            <w:pPr>
              <w:jc w:val="right"/>
            </w:pPr>
            <w:r>
              <w:rPr>
                <w:b w:val="false"/>
                <w:bCs w:val="false"/>
                <w:i w:val="false"/>
                <w:iCs w:val="false"/>
              </w:rPr>
              <w:t xml:space="preserve"/>
            </w:r>
          </w:p>
        </w:tc>
      </w:tr>
    </w:tbl>
    <w:p>
      <w:pPr>
        <w:pStyle w:val="Heading1"/>
        <w:spacing w:after="150" w:before="300"/>
      </w:pPr>
      <w:r>
        <w:t xml:space="preserve">Custos indiretos de produção do período (total a ratear)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9E2F3" w:val="clear"/>
            <w:tcMar>
              <w:top w:type="dxa" w:w="80"/>
              <w:left w:type="dxa" w:w="100"/>
              <w:bottom w:type="dxa" w:w="80"/>
              <w:right w:type="dxa" w:w="100"/>
            </w:tcMar>
          </w:tcPr>
          <w:p>
            <w:pPr>
              <w:jc w:val="center"/>
            </w:pPr>
            <w:r>
              <w:rPr>
                <w:b/>
                <w:bCs/>
                <w:i w:val="false"/>
                <w:iCs w:val="false"/>
              </w:rPr>
              <w:t xml:space="preserve">Item</w:t>
            </w:r>
          </w:p>
        </w:tc>
        <w:tc>
          <w:tcPr>
            <w:tcW w:type="dxa" w:w="4680"/>
            <w:shd w:fill="D9E2F3" w:val="clear"/>
            <w:tcMar>
              <w:top w:type="dxa" w:w="80"/>
              <w:left w:type="dxa" w:w="100"/>
              <w:bottom w:type="dxa" w:w="80"/>
              <w:right w:type="dxa" w:w="100"/>
            </w:tcMar>
          </w:tcPr>
          <w:p>
            <w:pPr>
              <w:jc w:val="center"/>
            </w:pPr>
            <w:r>
              <w:rPr>
                <w:b/>
                <w:bCs/>
                <w:i w:val="false"/>
                <w:iCs w:val="false"/>
              </w:rPr>
              <w:t xml:space="preserve">Valor anual ($)</w:t>
            </w:r>
          </w:p>
        </w:tc>
      </w:tr>
      <w:tr>
        <w:tc>
          <w:tcPr>
            <w:tcW w:type="dxa" w:w="4680"/>
            <w:tcMar>
              <w:top w:type="dxa" w:w="80"/>
              <w:left w:type="dxa" w:w="100"/>
              <w:bottom w:type="dxa" w:w="80"/>
              <w:right w:type="dxa" w:w="100"/>
            </w:tcMar>
          </w:tcPr>
          <w:p>
            <w:pPr>
              <w:jc w:val="left"/>
            </w:pPr>
            <w:r>
              <w:rPr>
                <w:b w:val="false"/>
                <w:bCs w:val="false"/>
                <w:i w:val="false"/>
                <w:iCs w:val="false"/>
              </w:rPr>
              <w:t xml:space="preserve">Depreciação — máquinas de costura (1.500.000/10 anos)</w:t>
            </w:r>
          </w:p>
        </w:tc>
        <w:tc>
          <w:tcPr>
            <w:tcW w:type="dxa" w:w="4680"/>
            <w:tcMar>
              <w:top w:type="dxa" w:w="80"/>
              <w:left w:type="dxa" w:w="100"/>
              <w:bottom w:type="dxa" w:w="80"/>
              <w:right w:type="dxa" w:w="100"/>
            </w:tcMar>
          </w:tcPr>
          <w:p>
            <w:pPr>
              <w:jc w:val="right"/>
            </w:pPr>
            <w:r>
              <w:rPr>
                <w:b w:val="false"/>
                <w:bCs w:val="false"/>
                <w:i w:val="false"/>
                <w:iCs w:val="false"/>
              </w:rPr>
              <w:t xml:space="preserve">150.000,00</w:t>
            </w:r>
          </w:p>
        </w:tc>
      </w:tr>
      <w:tr>
        <w:tc>
          <w:tcPr>
            <w:tcW w:type="dxa" w:w="4680"/>
            <w:tcMar>
              <w:top w:type="dxa" w:w="80"/>
              <w:left w:type="dxa" w:w="100"/>
              <w:bottom w:type="dxa" w:w="80"/>
              <w:right w:type="dxa" w:w="100"/>
            </w:tcMar>
          </w:tcPr>
          <w:p>
            <w:pPr>
              <w:jc w:val="left"/>
            </w:pPr>
            <w:r>
              <w:rPr>
                <w:b w:val="false"/>
                <w:bCs w:val="false"/>
                <w:i w:val="false"/>
                <w:iCs w:val="false"/>
              </w:rPr>
              <w:t xml:space="preserve">Aluguel do galpão industrial</w:t>
            </w:r>
          </w:p>
        </w:tc>
        <w:tc>
          <w:tcPr>
            <w:tcW w:type="dxa" w:w="4680"/>
            <w:tcMar>
              <w:top w:type="dxa" w:w="80"/>
              <w:left w:type="dxa" w:w="100"/>
              <w:bottom w:type="dxa" w:w="80"/>
              <w:right w:type="dxa" w:w="100"/>
            </w:tcMar>
          </w:tcPr>
          <w:p>
            <w:pPr>
              <w:jc w:val="right"/>
            </w:pPr>
            <w:r>
              <w:rPr>
                <w:b w:val="false"/>
                <w:bCs w:val="false"/>
                <w:i w:val="false"/>
                <w:iCs w:val="false"/>
              </w:rPr>
              <w:t xml:space="preserve">96.000,00</w:t>
            </w:r>
          </w:p>
        </w:tc>
      </w:tr>
      <w:tr>
        <w:tc>
          <w:tcPr>
            <w:tcW w:type="dxa" w:w="4680"/>
            <w:tcMar>
              <w:top w:type="dxa" w:w="80"/>
              <w:left w:type="dxa" w:w="100"/>
              <w:bottom w:type="dxa" w:w="80"/>
              <w:right w:type="dxa" w:w="100"/>
            </w:tcMar>
          </w:tcPr>
          <w:p>
            <w:pPr>
              <w:jc w:val="left"/>
            </w:pPr>
            <w:r>
              <w:rPr>
                <w:b w:val="false"/>
                <w:bCs w:val="false"/>
                <w:i w:val="false"/>
                <w:iCs w:val="false"/>
              </w:rPr>
              <w:t xml:space="preserve">Supervisão de produção</w:t>
            </w:r>
          </w:p>
        </w:tc>
        <w:tc>
          <w:tcPr>
            <w:tcW w:type="dxa" w:w="4680"/>
            <w:tcMar>
              <w:top w:type="dxa" w:w="80"/>
              <w:left w:type="dxa" w:w="100"/>
              <w:bottom w:type="dxa" w:w="80"/>
              <w:right w:type="dxa" w:w="100"/>
            </w:tcMar>
          </w:tcPr>
          <w:p>
            <w:pPr>
              <w:jc w:val="right"/>
            </w:pPr>
            <w:r>
              <w:rPr>
                <w:b w:val="false"/>
                <w:bCs w:val="false"/>
                <w:i w:val="false"/>
                <w:iCs w:val="false"/>
              </w:rPr>
              <w:t xml:space="preserve">84.000,00</w:t>
            </w:r>
          </w:p>
        </w:tc>
      </w:tr>
      <w:tr>
        <w:tc>
          <w:tcPr>
            <w:tcW w:type="dxa" w:w="4680"/>
            <w:tcMar>
              <w:top w:type="dxa" w:w="80"/>
              <w:left w:type="dxa" w:w="100"/>
              <w:bottom w:type="dxa" w:w="80"/>
              <w:right w:type="dxa" w:w="100"/>
            </w:tcMar>
          </w:tcPr>
          <w:p>
            <w:pPr>
              <w:jc w:val="left"/>
            </w:pPr>
            <w:r>
              <w:rPr>
                <w:b w:val="false"/>
                <w:bCs w:val="false"/>
                <w:i w:val="false"/>
                <w:iCs w:val="false"/>
              </w:rPr>
              <w:t xml:space="preserve">Manutenção preventiva das máquinas</w:t>
            </w:r>
          </w:p>
        </w:tc>
        <w:tc>
          <w:tcPr>
            <w:tcW w:type="dxa" w:w="4680"/>
            <w:tcMar>
              <w:top w:type="dxa" w:w="80"/>
              <w:left w:type="dxa" w:w="100"/>
              <w:bottom w:type="dxa" w:w="80"/>
              <w:right w:type="dxa" w:w="100"/>
            </w:tcMar>
          </w:tcPr>
          <w:p>
            <w:pPr>
              <w:jc w:val="right"/>
            </w:pPr>
            <w:r>
              <w:rPr>
                <w:b w:val="false"/>
                <w:bCs w:val="false"/>
                <w:i w:val="false"/>
                <w:iCs w:val="false"/>
              </w:rPr>
              <w:t xml:space="preserve">30.000,00</w:t>
            </w:r>
          </w:p>
        </w:tc>
      </w:tr>
      <w:tr>
        <w:tc>
          <w:tcPr>
            <w:tcW w:type="dxa" w:w="4680"/>
            <w:tcMar>
              <w:top w:type="dxa" w:w="80"/>
              <w:left w:type="dxa" w:w="100"/>
              <w:bottom w:type="dxa" w:w="80"/>
              <w:right w:type="dxa" w:w="100"/>
            </w:tcMar>
          </w:tcPr>
          <w:p>
            <w:pPr>
              <w:jc w:val="left"/>
            </w:pPr>
            <w:r>
              <w:rPr>
                <w:b w:val="false"/>
                <w:bCs w:val="false"/>
                <w:i w:val="false"/>
                <w:iCs w:val="false"/>
              </w:rPr>
              <w:t xml:space="preserve">Total custos indiretos de produção</w:t>
            </w:r>
          </w:p>
        </w:tc>
        <w:tc>
          <w:tcPr>
            <w:tcW w:type="dxa" w:w="4680"/>
            <w:tcMar>
              <w:top w:type="dxa" w:w="80"/>
              <w:left w:type="dxa" w:w="100"/>
              <w:bottom w:type="dxa" w:w="80"/>
              <w:right w:type="dxa" w:w="100"/>
            </w:tcMar>
          </w:tcPr>
          <w:p>
            <w:pPr>
              <w:jc w:val="right"/>
            </w:pPr>
            <w:r>
              <w:rPr>
                <w:b w:val="false"/>
                <w:bCs w:val="false"/>
                <w:i w:val="false"/>
                <w:iCs w:val="false"/>
              </w:rPr>
              <w:t xml:space="preserve">360.000,00</w:t>
            </w:r>
          </w:p>
        </w:tc>
      </w:tr>
    </w:tbl>
    <w:p>
      <w:pPr>
        <w:pStyle w:val="Heading1"/>
        <w:spacing w:after="150" w:before="300"/>
      </w:pPr>
      <w:r>
        <w:t xml:space="preserve">b) Rateio dos custos indiretos por volume produzido — custo de produção por absorção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0"/>
        <w:gridCol w:w="1005"/>
        <w:gridCol w:w="1005"/>
        <w:gridCol w:w="1350"/>
        <w:gridCol w:w="1350"/>
        <w:gridCol w:w="1660"/>
        <w:gridCol w:w="1660"/>
      </w:tblGrid>
      <w:tr>
        <w:trPr>
          <w:tblHeader/>
        </w:trPr>
        <w:tc>
          <w:tcPr>
            <w:tcW w:type="dxa" w:w="1330"/>
            <w:shd w:fill="D9E2F3" w:val="clear"/>
            <w:tcMar>
              <w:top w:type="dxa" w:w="80"/>
              <w:left w:type="dxa" w:w="100"/>
              <w:bottom w:type="dxa" w:w="80"/>
              <w:right w:type="dxa" w:w="100"/>
            </w:tcMar>
          </w:tcPr>
          <w:p>
            <w:pPr>
              <w:jc w:val="center"/>
            </w:pPr>
            <w:r>
              <w:rPr>
                <w:b/>
                <w:bCs/>
                <w:i w:val="false"/>
                <w:iCs w:val="false"/>
              </w:rPr>
              <w:t xml:space="preserve">Produto</w:t>
            </w:r>
          </w:p>
        </w:tc>
        <w:tc>
          <w:tcPr>
            <w:tcW w:type="dxa" w:w="1005"/>
            <w:shd w:fill="D9E2F3" w:val="clear"/>
            <w:tcMar>
              <w:top w:type="dxa" w:w="80"/>
              <w:left w:type="dxa" w:w="100"/>
              <w:bottom w:type="dxa" w:w="80"/>
              <w:right w:type="dxa" w:w="100"/>
            </w:tcMar>
          </w:tcPr>
          <w:p>
            <w:pPr>
              <w:jc w:val="center"/>
            </w:pPr>
            <w:r>
              <w:rPr>
                <w:b/>
                <w:bCs/>
                <w:i w:val="false"/>
                <w:iCs w:val="false"/>
              </w:rPr>
              <w:t xml:space="preserve">Volume</w:t>
            </w:r>
          </w:p>
        </w:tc>
        <w:tc>
          <w:tcPr>
            <w:tcW w:type="dxa" w:w="1005"/>
            <w:shd w:fill="D9E2F3" w:val="clear"/>
            <w:tcMar>
              <w:top w:type="dxa" w:w="80"/>
              <w:left w:type="dxa" w:w="100"/>
              <w:bottom w:type="dxa" w:w="80"/>
              <w:right w:type="dxa" w:w="100"/>
            </w:tcMar>
          </w:tcPr>
          <w:p>
            <w:pPr>
              <w:jc w:val="center"/>
            </w:pPr>
            <w:r>
              <w:rPr>
                <w:b/>
                <w:bCs/>
                <w:i w:val="false"/>
                <w:iCs w:val="false"/>
              </w:rPr>
              <w:t xml:space="preserve">% do total</w:t>
            </w:r>
          </w:p>
        </w:tc>
        <w:tc>
          <w:tcPr>
            <w:tcW w:type="dxa" w:w="1350"/>
            <w:shd w:fill="D9E2F3" w:val="clear"/>
            <w:tcMar>
              <w:top w:type="dxa" w:w="80"/>
              <w:left w:type="dxa" w:w="100"/>
              <w:bottom w:type="dxa" w:w="80"/>
              <w:right w:type="dxa" w:w="100"/>
            </w:tcMar>
          </w:tcPr>
          <w:p>
            <w:pPr>
              <w:jc w:val="center"/>
            </w:pPr>
            <w:r>
              <w:rPr>
                <w:b/>
                <w:bCs/>
                <w:i w:val="false"/>
                <w:iCs w:val="false"/>
              </w:rPr>
              <w:t xml:space="preserve">Indireto rateado ($)</w:t>
            </w:r>
          </w:p>
        </w:tc>
        <w:tc>
          <w:tcPr>
            <w:tcW w:type="dxa" w:w="1350"/>
            <w:shd w:fill="D9E2F3" w:val="clear"/>
            <w:tcMar>
              <w:top w:type="dxa" w:w="80"/>
              <w:left w:type="dxa" w:w="100"/>
              <w:bottom w:type="dxa" w:w="80"/>
              <w:right w:type="dxa" w:w="100"/>
            </w:tcMar>
          </w:tcPr>
          <w:p>
            <w:pPr>
              <w:jc w:val="center"/>
            </w:pPr>
            <w:r>
              <w:rPr>
                <w:b/>
                <w:bCs/>
                <w:i w:val="false"/>
                <w:iCs w:val="false"/>
              </w:rPr>
              <w:t xml:space="preserve">Custo direto ($)</w:t>
            </w:r>
          </w:p>
        </w:tc>
        <w:tc>
          <w:tcPr>
            <w:tcW w:type="dxa" w:w="1660"/>
            <w:shd w:fill="D9E2F3" w:val="clear"/>
            <w:tcMar>
              <w:top w:type="dxa" w:w="80"/>
              <w:left w:type="dxa" w:w="100"/>
              <w:bottom w:type="dxa" w:w="80"/>
              <w:right w:type="dxa" w:w="100"/>
            </w:tcMar>
          </w:tcPr>
          <w:p>
            <w:pPr>
              <w:jc w:val="center"/>
            </w:pPr>
            <w:r>
              <w:rPr>
                <w:b/>
                <w:bCs/>
                <w:i w:val="false"/>
                <w:iCs w:val="false"/>
              </w:rPr>
              <w:t xml:space="preserve">Custo produção total ($)</w:t>
            </w:r>
          </w:p>
        </w:tc>
        <w:tc>
          <w:tcPr>
            <w:tcW w:type="dxa" w:w="1660"/>
            <w:shd w:fill="D9E2F3" w:val="clear"/>
            <w:tcMar>
              <w:top w:type="dxa" w:w="80"/>
              <w:left w:type="dxa" w:w="100"/>
              <w:bottom w:type="dxa" w:w="80"/>
              <w:right w:type="dxa" w:w="100"/>
            </w:tcMar>
          </w:tcPr>
          <w:p>
            <w:pPr>
              <w:jc w:val="center"/>
            </w:pPr>
            <w:r>
              <w:rPr>
                <w:b/>
                <w:bCs/>
                <w:i w:val="false"/>
                <w:iCs w:val="false"/>
              </w:rPr>
              <w:t xml:space="preserve">Custo unit. ($)</w:t>
            </w:r>
          </w:p>
        </w:tc>
      </w:tr>
      <w:tr>
        <w:tc>
          <w:tcPr>
            <w:tcW w:type="dxa" w:w="1330"/>
            <w:tcMar>
              <w:top w:type="dxa" w:w="80"/>
              <w:left w:type="dxa" w:w="100"/>
              <w:bottom w:type="dxa" w:w="80"/>
              <w:right w:type="dxa" w:w="100"/>
            </w:tcMar>
          </w:tcPr>
          <w:p>
            <w:pPr>
              <w:jc w:val="left"/>
            </w:pPr>
            <w:r>
              <w:rPr>
                <w:b w:val="false"/>
                <w:bCs w:val="false"/>
                <w:i w:val="false"/>
                <w:iCs w:val="false"/>
              </w:rPr>
              <w:t xml:space="preserve">Camisas</w:t>
            </w:r>
          </w:p>
        </w:tc>
        <w:tc>
          <w:tcPr>
            <w:tcW w:type="dxa" w:w="1005"/>
            <w:tcMar>
              <w:top w:type="dxa" w:w="80"/>
              <w:left w:type="dxa" w:w="100"/>
              <w:bottom w:type="dxa" w:w="80"/>
              <w:right w:type="dxa" w:w="100"/>
            </w:tcMar>
          </w:tcPr>
          <w:p>
            <w:pPr>
              <w:jc w:val="right"/>
            </w:pPr>
            <w:r>
              <w:rPr>
                <w:b w:val="false"/>
                <w:bCs w:val="false"/>
                <w:i w:val="false"/>
                <w:iCs w:val="false"/>
              </w:rPr>
              <w:t xml:space="preserve">40.000</w:t>
            </w:r>
          </w:p>
        </w:tc>
        <w:tc>
          <w:tcPr>
            <w:tcW w:type="dxa" w:w="1005"/>
            <w:tcMar>
              <w:top w:type="dxa" w:w="80"/>
              <w:left w:type="dxa" w:w="100"/>
              <w:bottom w:type="dxa" w:w="80"/>
              <w:right w:type="dxa" w:w="100"/>
            </w:tcMar>
          </w:tcPr>
          <w:p>
            <w:pPr>
              <w:jc w:val="right"/>
            </w:pPr>
            <w:r>
              <w:rPr>
                <w:b w:val="false"/>
                <w:bCs w:val="false"/>
                <w:i w:val="false"/>
                <w:iCs w:val="false"/>
              </w:rPr>
              <w:t xml:space="preserve">50,0%</w:t>
            </w:r>
          </w:p>
        </w:tc>
        <w:tc>
          <w:tcPr>
            <w:tcW w:type="dxa" w:w="1350"/>
            <w:tcMar>
              <w:top w:type="dxa" w:w="80"/>
              <w:left w:type="dxa" w:w="100"/>
              <w:bottom w:type="dxa" w:w="80"/>
              <w:right w:type="dxa" w:w="100"/>
            </w:tcMar>
          </w:tcPr>
          <w:p>
            <w:pPr>
              <w:jc w:val="right"/>
            </w:pPr>
            <w:r>
              <w:rPr>
                <w:b w:val="false"/>
                <w:bCs w:val="false"/>
                <w:i w:val="false"/>
                <w:iCs w:val="false"/>
              </w:rPr>
              <w:t xml:space="preserve">180.000,00</w:t>
            </w:r>
          </w:p>
        </w:tc>
        <w:tc>
          <w:tcPr>
            <w:tcW w:type="dxa" w:w="1350"/>
            <w:tcMar>
              <w:top w:type="dxa" w:w="80"/>
              <w:left w:type="dxa" w:w="100"/>
              <w:bottom w:type="dxa" w:w="80"/>
              <w:right w:type="dxa" w:w="100"/>
            </w:tcMar>
          </w:tcPr>
          <w:p>
            <w:pPr>
              <w:jc w:val="right"/>
            </w:pPr>
            <w:r>
              <w:rPr>
                <w:b w:val="false"/>
                <w:bCs w:val="false"/>
                <w:i w:val="false"/>
                <w:iCs w:val="false"/>
              </w:rPr>
              <w:t xml:space="preserve">320.000,00</w:t>
            </w:r>
          </w:p>
        </w:tc>
        <w:tc>
          <w:tcPr>
            <w:tcW w:type="dxa" w:w="1660"/>
            <w:tcMar>
              <w:top w:type="dxa" w:w="80"/>
              <w:left w:type="dxa" w:w="100"/>
              <w:bottom w:type="dxa" w:w="80"/>
              <w:right w:type="dxa" w:w="100"/>
            </w:tcMar>
          </w:tcPr>
          <w:p>
            <w:pPr>
              <w:jc w:val="right"/>
            </w:pPr>
            <w:r>
              <w:rPr>
                <w:b w:val="false"/>
                <w:bCs w:val="false"/>
                <w:i w:val="false"/>
                <w:iCs w:val="false"/>
              </w:rPr>
              <w:t xml:space="preserve">500.000,00</w:t>
            </w:r>
          </w:p>
        </w:tc>
        <w:tc>
          <w:tcPr>
            <w:tcW w:type="dxa" w:w="1660"/>
            <w:tcMar>
              <w:top w:type="dxa" w:w="80"/>
              <w:left w:type="dxa" w:w="100"/>
              <w:bottom w:type="dxa" w:w="80"/>
              <w:right w:type="dxa" w:w="100"/>
            </w:tcMar>
          </w:tcPr>
          <w:p>
            <w:pPr>
              <w:jc w:val="right"/>
            </w:pPr>
            <w:r>
              <w:rPr>
                <w:b w:val="false"/>
                <w:bCs w:val="false"/>
                <w:i w:val="false"/>
                <w:iCs w:val="false"/>
              </w:rPr>
              <w:t xml:space="preserve">12,5000</w:t>
            </w:r>
          </w:p>
        </w:tc>
      </w:tr>
      <w:tr>
        <w:tc>
          <w:tcPr>
            <w:tcW w:type="dxa" w:w="1330"/>
            <w:tcMar>
              <w:top w:type="dxa" w:w="80"/>
              <w:left w:type="dxa" w:w="100"/>
              <w:bottom w:type="dxa" w:w="80"/>
              <w:right w:type="dxa" w:w="100"/>
            </w:tcMar>
          </w:tcPr>
          <w:p>
            <w:pPr>
              <w:jc w:val="left"/>
            </w:pPr>
            <w:r>
              <w:rPr>
                <w:b w:val="false"/>
                <w:bCs w:val="false"/>
                <w:i w:val="false"/>
                <w:iCs w:val="false"/>
              </w:rPr>
              <w:t xml:space="preserve">Calças jeans</w:t>
            </w:r>
          </w:p>
        </w:tc>
        <w:tc>
          <w:tcPr>
            <w:tcW w:type="dxa" w:w="1005"/>
            <w:tcMar>
              <w:top w:type="dxa" w:w="80"/>
              <w:left w:type="dxa" w:w="100"/>
              <w:bottom w:type="dxa" w:w="80"/>
              <w:right w:type="dxa" w:w="100"/>
            </w:tcMar>
          </w:tcPr>
          <w:p>
            <w:pPr>
              <w:jc w:val="right"/>
            </w:pPr>
            <w:r>
              <w:rPr>
                <w:b w:val="false"/>
                <w:bCs w:val="false"/>
                <w:i w:val="false"/>
                <w:iCs w:val="false"/>
              </w:rPr>
              <w:t xml:space="preserve">20.000</w:t>
            </w:r>
          </w:p>
        </w:tc>
        <w:tc>
          <w:tcPr>
            <w:tcW w:type="dxa" w:w="1005"/>
            <w:tcMar>
              <w:top w:type="dxa" w:w="80"/>
              <w:left w:type="dxa" w:w="100"/>
              <w:bottom w:type="dxa" w:w="80"/>
              <w:right w:type="dxa" w:w="100"/>
            </w:tcMar>
          </w:tcPr>
          <w:p>
            <w:pPr>
              <w:jc w:val="right"/>
            </w:pPr>
            <w:r>
              <w:rPr>
                <w:b w:val="false"/>
                <w:bCs w:val="false"/>
                <w:i w:val="false"/>
                <w:iCs w:val="false"/>
              </w:rPr>
              <w:t xml:space="preserve">25,0%</w:t>
            </w:r>
          </w:p>
        </w:tc>
        <w:tc>
          <w:tcPr>
            <w:tcW w:type="dxa" w:w="1350"/>
            <w:tcMar>
              <w:top w:type="dxa" w:w="80"/>
              <w:left w:type="dxa" w:w="100"/>
              <w:bottom w:type="dxa" w:w="80"/>
              <w:right w:type="dxa" w:w="100"/>
            </w:tcMar>
          </w:tcPr>
          <w:p>
            <w:pPr>
              <w:jc w:val="right"/>
            </w:pPr>
            <w:r>
              <w:rPr>
                <w:b w:val="false"/>
                <w:bCs w:val="false"/>
                <w:i w:val="false"/>
                <w:iCs w:val="false"/>
              </w:rPr>
              <w:t xml:space="preserve">90.000,00</w:t>
            </w:r>
          </w:p>
        </w:tc>
        <w:tc>
          <w:tcPr>
            <w:tcW w:type="dxa" w:w="1350"/>
            <w:tcMar>
              <w:top w:type="dxa" w:w="80"/>
              <w:left w:type="dxa" w:w="100"/>
              <w:bottom w:type="dxa" w:w="80"/>
              <w:right w:type="dxa" w:w="100"/>
            </w:tcMar>
          </w:tcPr>
          <w:p>
            <w:pPr>
              <w:jc w:val="right"/>
            </w:pPr>
            <w:r>
              <w:rPr>
                <w:b w:val="false"/>
                <w:bCs w:val="false"/>
                <w:i w:val="false"/>
                <w:iCs w:val="false"/>
              </w:rPr>
              <w:t xml:space="preserve">370.000,00</w:t>
            </w:r>
          </w:p>
        </w:tc>
        <w:tc>
          <w:tcPr>
            <w:tcW w:type="dxa" w:w="1660"/>
            <w:tcMar>
              <w:top w:type="dxa" w:w="80"/>
              <w:left w:type="dxa" w:w="100"/>
              <w:bottom w:type="dxa" w:w="80"/>
              <w:right w:type="dxa" w:w="100"/>
            </w:tcMar>
          </w:tcPr>
          <w:p>
            <w:pPr>
              <w:jc w:val="right"/>
            </w:pPr>
            <w:r>
              <w:rPr>
                <w:b w:val="false"/>
                <w:bCs w:val="false"/>
                <w:i w:val="false"/>
                <w:iCs w:val="false"/>
              </w:rPr>
              <w:t xml:space="preserve">460.000,00</w:t>
            </w:r>
          </w:p>
        </w:tc>
        <w:tc>
          <w:tcPr>
            <w:tcW w:type="dxa" w:w="1660"/>
            <w:tcMar>
              <w:top w:type="dxa" w:w="80"/>
              <w:left w:type="dxa" w:w="100"/>
              <w:bottom w:type="dxa" w:w="80"/>
              <w:right w:type="dxa" w:w="100"/>
            </w:tcMar>
          </w:tcPr>
          <w:p>
            <w:pPr>
              <w:jc w:val="right"/>
            </w:pPr>
            <w:r>
              <w:rPr>
                <w:b w:val="false"/>
                <w:bCs w:val="false"/>
                <w:i w:val="false"/>
                <w:iCs w:val="false"/>
              </w:rPr>
              <w:t xml:space="preserve">23,0000</w:t>
            </w:r>
          </w:p>
        </w:tc>
      </w:tr>
      <w:tr>
        <w:tc>
          <w:tcPr>
            <w:tcW w:type="dxa" w:w="1330"/>
            <w:tcMar>
              <w:top w:type="dxa" w:w="80"/>
              <w:left w:type="dxa" w:w="100"/>
              <w:bottom w:type="dxa" w:w="80"/>
              <w:right w:type="dxa" w:w="100"/>
            </w:tcMar>
          </w:tcPr>
          <w:p>
            <w:pPr>
              <w:jc w:val="left"/>
            </w:pPr>
            <w:r>
              <w:rPr>
                <w:b w:val="false"/>
                <w:bCs w:val="false"/>
                <w:i w:val="false"/>
                <w:iCs w:val="false"/>
              </w:rPr>
              <w:t xml:space="preserve">Uniformes</w:t>
            </w:r>
          </w:p>
        </w:tc>
        <w:tc>
          <w:tcPr>
            <w:tcW w:type="dxa" w:w="1005"/>
            <w:tcMar>
              <w:top w:type="dxa" w:w="80"/>
              <w:left w:type="dxa" w:w="100"/>
              <w:bottom w:type="dxa" w:w="80"/>
              <w:right w:type="dxa" w:w="100"/>
            </w:tcMar>
          </w:tcPr>
          <w:p>
            <w:pPr>
              <w:jc w:val="right"/>
            </w:pPr>
            <w:r>
              <w:rPr>
                <w:b w:val="false"/>
                <w:bCs w:val="false"/>
                <w:i w:val="false"/>
                <w:iCs w:val="false"/>
              </w:rPr>
              <w:t xml:space="preserve">20.000</w:t>
            </w:r>
          </w:p>
        </w:tc>
        <w:tc>
          <w:tcPr>
            <w:tcW w:type="dxa" w:w="1005"/>
            <w:tcMar>
              <w:top w:type="dxa" w:w="80"/>
              <w:left w:type="dxa" w:w="100"/>
              <w:bottom w:type="dxa" w:w="80"/>
              <w:right w:type="dxa" w:w="100"/>
            </w:tcMar>
          </w:tcPr>
          <w:p>
            <w:pPr>
              <w:jc w:val="right"/>
            </w:pPr>
            <w:r>
              <w:rPr>
                <w:b w:val="false"/>
                <w:bCs w:val="false"/>
                <w:i w:val="false"/>
                <w:iCs w:val="false"/>
              </w:rPr>
              <w:t xml:space="preserve">25,0%</w:t>
            </w:r>
          </w:p>
        </w:tc>
        <w:tc>
          <w:tcPr>
            <w:tcW w:type="dxa" w:w="1350"/>
            <w:tcMar>
              <w:top w:type="dxa" w:w="80"/>
              <w:left w:type="dxa" w:w="100"/>
              <w:bottom w:type="dxa" w:w="80"/>
              <w:right w:type="dxa" w:w="100"/>
            </w:tcMar>
          </w:tcPr>
          <w:p>
            <w:pPr>
              <w:jc w:val="right"/>
            </w:pPr>
            <w:r>
              <w:rPr>
                <w:b w:val="false"/>
                <w:bCs w:val="false"/>
                <w:i w:val="false"/>
                <w:iCs w:val="false"/>
              </w:rPr>
              <w:t xml:space="preserve">90.000,00</w:t>
            </w:r>
          </w:p>
        </w:tc>
        <w:tc>
          <w:tcPr>
            <w:tcW w:type="dxa" w:w="1350"/>
            <w:tcMar>
              <w:top w:type="dxa" w:w="80"/>
              <w:left w:type="dxa" w:w="100"/>
              <w:bottom w:type="dxa" w:w="80"/>
              <w:right w:type="dxa" w:w="100"/>
            </w:tcMar>
          </w:tcPr>
          <w:p>
            <w:pPr>
              <w:jc w:val="right"/>
            </w:pPr>
            <w:r>
              <w:rPr>
                <w:b w:val="false"/>
                <w:bCs w:val="false"/>
                <w:i w:val="false"/>
                <w:iCs w:val="false"/>
              </w:rPr>
              <w:t xml:space="preserve">280.000,00</w:t>
            </w:r>
          </w:p>
        </w:tc>
        <w:tc>
          <w:tcPr>
            <w:tcW w:type="dxa" w:w="1660"/>
            <w:tcMar>
              <w:top w:type="dxa" w:w="80"/>
              <w:left w:type="dxa" w:w="100"/>
              <w:bottom w:type="dxa" w:w="80"/>
              <w:right w:type="dxa" w:w="100"/>
            </w:tcMar>
          </w:tcPr>
          <w:p>
            <w:pPr>
              <w:jc w:val="right"/>
            </w:pPr>
            <w:r>
              <w:rPr>
                <w:b w:val="false"/>
                <w:bCs w:val="false"/>
                <w:i w:val="false"/>
                <w:iCs w:val="false"/>
              </w:rPr>
              <w:t xml:space="preserve">370.000,00</w:t>
            </w:r>
          </w:p>
        </w:tc>
        <w:tc>
          <w:tcPr>
            <w:tcW w:type="dxa" w:w="1660"/>
            <w:tcMar>
              <w:top w:type="dxa" w:w="80"/>
              <w:left w:type="dxa" w:w="100"/>
              <w:bottom w:type="dxa" w:w="80"/>
              <w:right w:type="dxa" w:w="100"/>
            </w:tcMar>
          </w:tcPr>
          <w:p>
            <w:pPr>
              <w:jc w:val="right"/>
            </w:pPr>
            <w:r>
              <w:rPr>
                <w:b w:val="false"/>
                <w:bCs w:val="false"/>
                <w:i w:val="false"/>
                <w:iCs w:val="false"/>
              </w:rPr>
              <w:t xml:space="preserve">18,5000</w:t>
            </w:r>
          </w:p>
        </w:tc>
      </w:tr>
      <w:tr>
        <w:tc>
          <w:tcPr>
            <w:tcW w:type="dxa" w:w="1330"/>
            <w:tcMar>
              <w:top w:type="dxa" w:w="80"/>
              <w:left w:type="dxa" w:w="100"/>
              <w:bottom w:type="dxa" w:w="80"/>
              <w:right w:type="dxa" w:w="100"/>
            </w:tcMar>
          </w:tcPr>
          <w:p>
            <w:pPr>
              <w:jc w:val="left"/>
            </w:pPr>
            <w:r>
              <w:rPr>
                <w:b w:val="false"/>
                <w:bCs w:val="false"/>
                <w:i w:val="false"/>
                <w:iCs w:val="false"/>
              </w:rPr>
              <w:t xml:space="preserve">Total</w:t>
            </w:r>
          </w:p>
        </w:tc>
        <w:tc>
          <w:tcPr>
            <w:tcW w:type="dxa" w:w="1005"/>
            <w:tcMar>
              <w:top w:type="dxa" w:w="80"/>
              <w:left w:type="dxa" w:w="100"/>
              <w:bottom w:type="dxa" w:w="80"/>
              <w:right w:type="dxa" w:w="100"/>
            </w:tcMar>
          </w:tcPr>
          <w:p>
            <w:pPr>
              <w:jc w:val="right"/>
            </w:pPr>
            <w:r>
              <w:rPr>
                <w:b w:val="false"/>
                <w:bCs w:val="false"/>
                <w:i w:val="false"/>
                <w:iCs w:val="false"/>
              </w:rPr>
              <w:t xml:space="preserve">80.000</w:t>
            </w:r>
          </w:p>
        </w:tc>
        <w:tc>
          <w:tcPr>
            <w:tcW w:type="dxa" w:w="1005"/>
            <w:tcMar>
              <w:top w:type="dxa" w:w="80"/>
              <w:left w:type="dxa" w:w="100"/>
              <w:bottom w:type="dxa" w:w="80"/>
              <w:right w:type="dxa" w:w="100"/>
            </w:tcMar>
          </w:tcPr>
          <w:p>
            <w:pPr>
              <w:jc w:val="right"/>
            </w:pPr>
            <w:r>
              <w:rPr>
                <w:b w:val="false"/>
                <w:bCs w:val="false"/>
                <w:i w:val="false"/>
                <w:iCs w:val="false"/>
              </w:rPr>
              <w:t xml:space="preserve">100,0%</w:t>
            </w:r>
          </w:p>
        </w:tc>
        <w:tc>
          <w:tcPr>
            <w:tcW w:type="dxa" w:w="1350"/>
            <w:tcMar>
              <w:top w:type="dxa" w:w="80"/>
              <w:left w:type="dxa" w:w="100"/>
              <w:bottom w:type="dxa" w:w="80"/>
              <w:right w:type="dxa" w:w="100"/>
            </w:tcMar>
          </w:tcPr>
          <w:p>
            <w:pPr>
              <w:jc w:val="right"/>
            </w:pPr>
            <w:r>
              <w:rPr>
                <w:b w:val="false"/>
                <w:bCs w:val="false"/>
                <w:i w:val="false"/>
                <w:iCs w:val="false"/>
              </w:rPr>
              <w:t xml:space="preserve">360.000,00</w:t>
            </w:r>
          </w:p>
        </w:tc>
        <w:tc>
          <w:tcPr>
            <w:tcW w:type="dxa" w:w="1350"/>
            <w:tcMar>
              <w:top w:type="dxa" w:w="80"/>
              <w:left w:type="dxa" w:w="100"/>
              <w:bottom w:type="dxa" w:w="80"/>
              <w:right w:type="dxa" w:w="100"/>
            </w:tcMar>
          </w:tcPr>
          <w:p>
            <w:pPr>
              <w:jc w:val="right"/>
            </w:pPr>
            <w:r>
              <w:rPr>
                <w:b w:val="false"/>
                <w:bCs w:val="false"/>
                <w:i w:val="false"/>
                <w:iCs w:val="false"/>
              </w:rPr>
              <w:t xml:space="preserve">970.000,00</w:t>
            </w:r>
          </w:p>
        </w:tc>
        <w:tc>
          <w:tcPr>
            <w:tcW w:type="dxa" w:w="1660"/>
            <w:tcMar>
              <w:top w:type="dxa" w:w="80"/>
              <w:left w:type="dxa" w:w="100"/>
              <w:bottom w:type="dxa" w:w="80"/>
              <w:right w:type="dxa" w:w="100"/>
            </w:tcMar>
          </w:tcPr>
          <w:p>
            <w:pPr>
              <w:jc w:val="right"/>
            </w:pPr>
            <w:r>
              <w:rPr>
                <w:b w:val="false"/>
                <w:bCs w:val="false"/>
                <w:i w:val="false"/>
                <w:iCs w:val="false"/>
              </w:rPr>
              <w:t xml:space="preserve">1.330.000,00</w:t>
            </w:r>
          </w:p>
        </w:tc>
        <w:tc>
          <w:tcPr>
            <w:tcW w:type="dxa" w:w="1660"/>
            <w:tcMar>
              <w:top w:type="dxa" w:w="80"/>
              <w:left w:type="dxa" w:w="100"/>
              <w:bottom w:type="dxa" w:w="80"/>
              <w:right w:type="dxa" w:w="100"/>
            </w:tcMar>
          </w:tcPr>
          <w:p>
            <w:pPr>
              <w:jc w:val="right"/>
            </w:pPr>
            <w:r>
              <w:rPr>
                <w:b w:val="false"/>
                <w:bCs w:val="false"/>
                <w:i w:val="false"/>
                <w:iCs w:val="false"/>
              </w:rPr>
              <w:t xml:space="preserve"/>
            </w:r>
          </w:p>
        </w:tc>
      </w:tr>
    </w:tbl>
    <w:p>
      <w:pPr>
        <w:spacing w:after="120"/>
      </w:pPr>
      <w:r>
        <w:t xml:space="preserve">Resposta b): o custo de produção total pelo custeio por absorção soma o custo direto (letra a) com a parcela de custo indireto rateada a cada peça, proporcionalmente ao seu volume produzido. Dividindo pelo volume de cada peça, chega-se ao custo unitário de produção — que é o custo usado para avaliar estoques e apurar o CPV pelo custeio por absorção.</w:t>
      </w:r>
    </w:p>
    <w:p>
      <w:pPr>
        <w:pStyle w:val="Heading1"/>
        <w:spacing w:after="150" w:before="300"/>
      </w:pPr>
      <w:r>
        <w:t xml:space="preserve">c) DRE pelo custeio por absorção — rateio por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9E2F3" w:val="clear"/>
            <w:tcMar>
              <w:top w:type="dxa" w:w="80"/>
              <w:left w:type="dxa" w:w="100"/>
              <w:bottom w:type="dxa" w:w="80"/>
              <w:right w:type="dxa" w:w="100"/>
            </w:tcMar>
          </w:tcPr>
          <w:p>
            <w:pPr>
              <w:jc w:val="center"/>
            </w:pPr>
            <w:r>
              <w:rPr>
                <w:b/>
                <w:bCs/>
                <w:i w:val="false"/>
                <w:iCs w:val="false"/>
              </w:rPr>
              <w:t xml:space="preserve">Item</w:t>
            </w:r>
          </w:p>
        </w:tc>
        <w:tc>
          <w:tcPr>
            <w:tcW w:type="dxa" w:w="4680"/>
            <w:shd w:fill="D9E2F3" w:val="clear"/>
            <w:tcMar>
              <w:top w:type="dxa" w:w="80"/>
              <w:left w:type="dxa" w:w="100"/>
              <w:bottom w:type="dxa" w:w="80"/>
              <w:right w:type="dxa" w:w="100"/>
            </w:tcMar>
          </w:tcPr>
          <w:p>
            <w:pPr>
              <w:jc w:val="center"/>
            </w:pPr>
            <w:r>
              <w:rPr>
                <w:b/>
                <w:bCs/>
                <w:i w:val="false"/>
                <w:iCs w:val="false"/>
              </w:rPr>
              <w:t xml:space="preserve">Valor ($)</w:t>
            </w:r>
          </w:p>
        </w:tc>
      </w:tr>
      <w:tr>
        <w:tc>
          <w:tcPr>
            <w:tcW w:type="dxa" w:w="4680"/>
            <w:tcMar>
              <w:top w:type="dxa" w:w="80"/>
              <w:left w:type="dxa" w:w="100"/>
              <w:bottom w:type="dxa" w:w="80"/>
              <w:right w:type="dxa" w:w="100"/>
            </w:tcMar>
          </w:tcPr>
          <w:p>
            <w:pPr>
              <w:jc w:val="left"/>
            </w:pPr>
            <w:r>
              <w:rPr>
                <w:b w:val="false"/>
                <w:bCs w:val="false"/>
                <w:i w:val="false"/>
                <w:iCs w:val="false"/>
              </w:rPr>
              <w:t xml:space="preserve">Receita total</w:t>
            </w:r>
          </w:p>
        </w:tc>
        <w:tc>
          <w:tcPr>
            <w:tcW w:type="dxa" w:w="4680"/>
            <w:tcMar>
              <w:top w:type="dxa" w:w="80"/>
              <w:left w:type="dxa" w:w="100"/>
              <w:bottom w:type="dxa" w:w="80"/>
              <w:right w:type="dxa" w:w="100"/>
            </w:tcMar>
          </w:tcPr>
          <w:p>
            <w:pPr>
              <w:jc w:val="right"/>
            </w:pPr>
            <w:r>
              <w:rPr>
                <w:b w:val="false"/>
                <w:bCs w:val="false"/>
                <w:i w:val="false"/>
                <w:iCs w:val="false"/>
              </w:rPr>
              <w:t xml:space="preserve">3.540.000,00</w:t>
            </w:r>
          </w:p>
        </w:tc>
      </w:tr>
      <w:tr>
        <w:tc>
          <w:tcPr>
            <w:tcW w:type="dxa" w:w="4680"/>
            <w:tcMar>
              <w:top w:type="dxa" w:w="80"/>
              <w:left w:type="dxa" w:w="100"/>
              <w:bottom w:type="dxa" w:w="80"/>
              <w:right w:type="dxa" w:w="100"/>
            </w:tcMar>
          </w:tcPr>
          <w:p>
            <w:pPr>
              <w:jc w:val="left"/>
            </w:pPr>
            <w:r>
              <w:rPr>
                <w:b w:val="false"/>
                <w:bCs w:val="false"/>
                <w:i w:val="false"/>
                <w:iCs w:val="false"/>
              </w:rPr>
              <w:t xml:space="preserve">(–) CPV (absorção)</w:t>
            </w:r>
          </w:p>
        </w:tc>
        <w:tc>
          <w:tcPr>
            <w:tcW w:type="dxa" w:w="4680"/>
            <w:tcMar>
              <w:top w:type="dxa" w:w="80"/>
              <w:left w:type="dxa" w:w="100"/>
              <w:bottom w:type="dxa" w:w="80"/>
              <w:right w:type="dxa" w:w="100"/>
            </w:tcMar>
          </w:tcPr>
          <w:p>
            <w:pPr>
              <w:jc w:val="right"/>
            </w:pPr>
            <w:r>
              <w:rPr>
                <w:b w:val="false"/>
                <w:bCs w:val="false"/>
                <w:i w:val="false"/>
                <w:iCs w:val="false"/>
              </w:rPr>
              <w:t xml:space="preserve">1.330.000,00</w:t>
            </w:r>
          </w:p>
        </w:tc>
      </w:tr>
      <w:tr>
        <w:tc>
          <w:tcPr>
            <w:tcW w:type="dxa" w:w="4680"/>
            <w:tcMar>
              <w:top w:type="dxa" w:w="80"/>
              <w:left w:type="dxa" w:w="100"/>
              <w:bottom w:type="dxa" w:w="80"/>
              <w:right w:type="dxa" w:w="100"/>
            </w:tcMar>
          </w:tcPr>
          <w:p>
            <w:pPr>
              <w:jc w:val="left"/>
            </w:pPr>
            <w:r>
              <w:rPr>
                <w:b w:val="false"/>
                <w:bCs w:val="false"/>
                <w:i w:val="false"/>
                <w:iCs w:val="false"/>
              </w:rPr>
              <w:t xml:space="preserve">(=) Lucro bruto (62,4%)</w:t>
            </w:r>
          </w:p>
        </w:tc>
        <w:tc>
          <w:tcPr>
            <w:tcW w:type="dxa" w:w="4680"/>
            <w:tcMar>
              <w:top w:type="dxa" w:w="80"/>
              <w:left w:type="dxa" w:w="100"/>
              <w:bottom w:type="dxa" w:w="80"/>
              <w:right w:type="dxa" w:w="100"/>
            </w:tcMar>
          </w:tcPr>
          <w:p>
            <w:pPr>
              <w:jc w:val="right"/>
            </w:pPr>
            <w:r>
              <w:rPr>
                <w:b w:val="false"/>
                <w:bCs w:val="false"/>
                <w:i w:val="false"/>
                <w:iCs w:val="false"/>
              </w:rPr>
              <w:t xml:space="preserve">2.210.000,00</w:t>
            </w:r>
          </w:p>
        </w:tc>
      </w:tr>
      <w:tr>
        <w:tc>
          <w:tcPr>
            <w:tcW w:type="dxa" w:w="4680"/>
            <w:tcMar>
              <w:top w:type="dxa" w:w="80"/>
              <w:left w:type="dxa" w:w="100"/>
              <w:bottom w:type="dxa" w:w="80"/>
              <w:right w:type="dxa" w:w="100"/>
            </w:tcMar>
          </w:tcPr>
          <w:p>
            <w:pPr>
              <w:jc w:val="left"/>
            </w:pPr>
            <w:r>
              <w:rPr>
                <w:b w:val="false"/>
                <w:bCs w:val="false"/>
                <w:i w:val="false"/>
                <w:iCs w:val="false"/>
              </w:rPr>
              <w:t xml:space="preserve">(–) Despesas de venda (comissão + frete + embalagem)</w:t>
            </w:r>
          </w:p>
        </w:tc>
        <w:tc>
          <w:tcPr>
            <w:tcW w:type="dxa" w:w="4680"/>
            <w:tcMar>
              <w:top w:type="dxa" w:w="80"/>
              <w:left w:type="dxa" w:w="100"/>
              <w:bottom w:type="dxa" w:w="80"/>
              <w:right w:type="dxa" w:w="100"/>
            </w:tcMar>
          </w:tcPr>
          <w:p>
            <w:pPr>
              <w:jc w:val="right"/>
            </w:pPr>
            <w:r>
              <w:rPr>
                <w:b w:val="false"/>
                <w:bCs w:val="false"/>
                <w:i w:val="false"/>
                <w:iCs w:val="false"/>
              </w:rPr>
              <w:t xml:space="preserve">210.200,00</w:t>
            </w:r>
          </w:p>
        </w:tc>
      </w:tr>
      <w:tr>
        <w:tc>
          <w:tcPr>
            <w:tcW w:type="dxa" w:w="4680"/>
            <w:tcMar>
              <w:top w:type="dxa" w:w="80"/>
              <w:left w:type="dxa" w:w="100"/>
              <w:bottom w:type="dxa" w:w="80"/>
              <w:right w:type="dxa" w:w="100"/>
            </w:tcMar>
          </w:tcPr>
          <w:p>
            <w:pPr>
              <w:jc w:val="left"/>
            </w:pPr>
            <w:r>
              <w:rPr>
                <w:b w:val="false"/>
                <w:bCs w:val="false"/>
                <w:i w:val="false"/>
                <w:iCs w:val="false"/>
              </w:rPr>
              <w:t xml:space="preserve">(–) Despesas administrativas</w:t>
            </w:r>
          </w:p>
        </w:tc>
        <w:tc>
          <w:tcPr>
            <w:tcW w:type="dxa" w:w="4680"/>
            <w:tcMar>
              <w:top w:type="dxa" w:w="80"/>
              <w:left w:type="dxa" w:w="100"/>
              <w:bottom w:type="dxa" w:w="80"/>
              <w:right w:type="dxa" w:w="100"/>
            </w:tcMar>
          </w:tcPr>
          <w:p>
            <w:pPr>
              <w:jc w:val="right"/>
            </w:pPr>
            <w:r>
              <w:rPr>
                <w:b w:val="false"/>
                <w:bCs w:val="false"/>
                <w:i w:val="false"/>
                <w:iCs w:val="false"/>
              </w:rPr>
              <w:t xml:space="preserve">128.000,00</w:t>
            </w:r>
          </w:p>
        </w:tc>
      </w:tr>
      <w:tr>
        <w:tc>
          <w:tcPr>
            <w:tcW w:type="dxa" w:w="4680"/>
            <w:tcMar>
              <w:top w:type="dxa" w:w="80"/>
              <w:left w:type="dxa" w:w="100"/>
              <w:bottom w:type="dxa" w:w="80"/>
              <w:right w:type="dxa" w:w="100"/>
            </w:tcMar>
          </w:tcPr>
          <w:p>
            <w:pPr>
              <w:jc w:val="left"/>
            </w:pPr>
            <w:r>
              <w:rPr>
                <w:b w:val="false"/>
                <w:bCs w:val="false"/>
                <w:i w:val="false"/>
                <w:iCs w:val="false"/>
              </w:rPr>
              <w:t xml:space="preserve">(–) Total de despesas do período</w:t>
            </w:r>
          </w:p>
        </w:tc>
        <w:tc>
          <w:tcPr>
            <w:tcW w:type="dxa" w:w="4680"/>
            <w:tcMar>
              <w:top w:type="dxa" w:w="80"/>
              <w:left w:type="dxa" w:w="100"/>
              <w:bottom w:type="dxa" w:w="80"/>
              <w:right w:type="dxa" w:w="100"/>
            </w:tcMar>
          </w:tcPr>
          <w:p>
            <w:pPr>
              <w:jc w:val="right"/>
            </w:pPr>
            <w:r>
              <w:rPr>
                <w:b w:val="false"/>
                <w:bCs w:val="false"/>
                <w:i w:val="false"/>
                <w:iCs w:val="false"/>
              </w:rPr>
              <w:t xml:space="preserve">338.200,00</w:t>
            </w:r>
          </w:p>
        </w:tc>
      </w:tr>
      <w:tr>
        <w:tc>
          <w:tcPr>
            <w:tcW w:type="dxa" w:w="4680"/>
            <w:tcMar>
              <w:top w:type="dxa" w:w="80"/>
              <w:left w:type="dxa" w:w="100"/>
              <w:bottom w:type="dxa" w:w="80"/>
              <w:right w:type="dxa" w:w="100"/>
            </w:tcMar>
          </w:tcPr>
          <w:p>
            <w:pPr>
              <w:jc w:val="left"/>
            </w:pPr>
            <w:r>
              <w:rPr>
                <w:b w:val="false"/>
                <w:bCs w:val="false"/>
                <w:i w:val="false"/>
                <w:iCs w:val="false"/>
              </w:rPr>
              <w:t xml:space="preserve">(=) Resultado operacional do período</w:t>
            </w:r>
          </w:p>
        </w:tc>
        <w:tc>
          <w:tcPr>
            <w:tcW w:type="dxa" w:w="4680"/>
            <w:tcMar>
              <w:top w:type="dxa" w:w="80"/>
              <w:left w:type="dxa" w:w="100"/>
              <w:bottom w:type="dxa" w:w="80"/>
              <w:right w:type="dxa" w:w="100"/>
            </w:tcMar>
          </w:tcPr>
          <w:p>
            <w:pPr>
              <w:jc w:val="right"/>
            </w:pPr>
            <w:r>
              <w:rPr>
                <w:b w:val="false"/>
                <w:bCs w:val="false"/>
                <w:i w:val="false"/>
                <w:iCs w:val="false"/>
              </w:rPr>
              <w:t xml:space="preserve">1.871.800,00</w:t>
            </w:r>
          </w:p>
        </w:tc>
      </w:tr>
    </w:tbl>
    <w:p>
      <w:pPr>
        <w:spacing w:after="120"/>
      </w:pPr>
      <w:r>
        <w:t xml:space="preserve">Resposta c): note que despesas de venda e administrativas NÃO entram no CPV — são lançadas diretamente na DRE como despesas do período, depois do lucro bruto, mesmo variando com o volume vendido.</w:t>
      </w:r>
    </w:p>
    <w:p>
      <w:pPr>
        <w:pStyle w:val="Heading1"/>
        <w:spacing w:after="150" w:before="300"/>
      </w:pPr>
      <w:r>
        <w:t xml:space="preserve">d) Rateio alternativo — proporcional à mão de obra direta (MOD)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0"/>
        <w:gridCol w:w="1005"/>
        <w:gridCol w:w="1005"/>
        <w:gridCol w:w="1350"/>
        <w:gridCol w:w="1350"/>
        <w:gridCol w:w="1660"/>
        <w:gridCol w:w="1660"/>
      </w:tblGrid>
      <w:tr>
        <w:trPr>
          <w:tblHeader/>
        </w:trPr>
        <w:tc>
          <w:tcPr>
            <w:tcW w:type="dxa" w:w="1330"/>
            <w:shd w:fill="D9E2F3" w:val="clear"/>
            <w:tcMar>
              <w:top w:type="dxa" w:w="80"/>
              <w:left w:type="dxa" w:w="100"/>
              <w:bottom w:type="dxa" w:w="80"/>
              <w:right w:type="dxa" w:w="100"/>
            </w:tcMar>
          </w:tcPr>
          <w:p>
            <w:pPr>
              <w:jc w:val="center"/>
            </w:pPr>
            <w:r>
              <w:rPr>
                <w:b/>
                <w:bCs/>
                <w:i w:val="false"/>
                <w:iCs w:val="false"/>
              </w:rPr>
              <w:t xml:space="preserve">Produto</w:t>
            </w:r>
          </w:p>
        </w:tc>
        <w:tc>
          <w:tcPr>
            <w:tcW w:type="dxa" w:w="1005"/>
            <w:shd w:fill="D9E2F3" w:val="clear"/>
            <w:tcMar>
              <w:top w:type="dxa" w:w="80"/>
              <w:left w:type="dxa" w:w="100"/>
              <w:bottom w:type="dxa" w:w="80"/>
              <w:right w:type="dxa" w:w="100"/>
            </w:tcMar>
          </w:tcPr>
          <w:p>
            <w:pPr>
              <w:jc w:val="center"/>
            </w:pPr>
            <w:r>
              <w:rPr>
                <w:b/>
                <w:bCs/>
                <w:i w:val="false"/>
                <w:iCs w:val="false"/>
              </w:rPr>
              <w:t xml:space="preserve">MOD ($)</w:t>
            </w:r>
          </w:p>
        </w:tc>
        <w:tc>
          <w:tcPr>
            <w:tcW w:type="dxa" w:w="1005"/>
            <w:shd w:fill="D9E2F3" w:val="clear"/>
            <w:tcMar>
              <w:top w:type="dxa" w:w="80"/>
              <w:left w:type="dxa" w:w="100"/>
              <w:bottom w:type="dxa" w:w="80"/>
              <w:right w:type="dxa" w:w="100"/>
            </w:tcMar>
          </w:tcPr>
          <w:p>
            <w:pPr>
              <w:jc w:val="center"/>
            </w:pPr>
            <w:r>
              <w:rPr>
                <w:b/>
                <w:bCs/>
                <w:i w:val="false"/>
                <w:iCs w:val="false"/>
              </w:rPr>
              <w:t xml:space="preserve">% da MOD</w:t>
            </w:r>
          </w:p>
        </w:tc>
        <w:tc>
          <w:tcPr>
            <w:tcW w:type="dxa" w:w="1350"/>
            <w:shd w:fill="D9E2F3" w:val="clear"/>
            <w:tcMar>
              <w:top w:type="dxa" w:w="80"/>
              <w:left w:type="dxa" w:w="100"/>
              <w:bottom w:type="dxa" w:w="80"/>
              <w:right w:type="dxa" w:w="100"/>
            </w:tcMar>
          </w:tcPr>
          <w:p>
            <w:pPr>
              <w:jc w:val="center"/>
            </w:pPr>
            <w:r>
              <w:rPr>
                <w:b/>
                <w:bCs/>
                <w:i w:val="false"/>
                <w:iCs w:val="false"/>
              </w:rPr>
              <w:t xml:space="preserve">Indireto rateado ($)</w:t>
            </w:r>
          </w:p>
        </w:tc>
        <w:tc>
          <w:tcPr>
            <w:tcW w:type="dxa" w:w="1350"/>
            <w:shd w:fill="D9E2F3" w:val="clear"/>
            <w:tcMar>
              <w:top w:type="dxa" w:w="80"/>
              <w:left w:type="dxa" w:w="100"/>
              <w:bottom w:type="dxa" w:w="80"/>
              <w:right w:type="dxa" w:w="100"/>
            </w:tcMar>
          </w:tcPr>
          <w:p>
            <w:pPr>
              <w:jc w:val="center"/>
            </w:pPr>
            <w:r>
              <w:rPr>
                <w:b/>
                <w:bCs/>
                <w:i w:val="false"/>
                <w:iCs w:val="false"/>
              </w:rPr>
              <w:t xml:space="preserve">Custo direto ($)</w:t>
            </w:r>
          </w:p>
        </w:tc>
        <w:tc>
          <w:tcPr>
            <w:tcW w:type="dxa" w:w="1660"/>
            <w:shd w:fill="D9E2F3" w:val="clear"/>
            <w:tcMar>
              <w:top w:type="dxa" w:w="80"/>
              <w:left w:type="dxa" w:w="100"/>
              <w:bottom w:type="dxa" w:w="80"/>
              <w:right w:type="dxa" w:w="100"/>
            </w:tcMar>
          </w:tcPr>
          <w:p>
            <w:pPr>
              <w:jc w:val="center"/>
            </w:pPr>
            <w:r>
              <w:rPr>
                <w:b/>
                <w:bCs/>
                <w:i w:val="false"/>
                <w:iCs w:val="false"/>
              </w:rPr>
              <w:t xml:space="preserve">Custo produção total ($)</w:t>
            </w:r>
          </w:p>
        </w:tc>
        <w:tc>
          <w:tcPr>
            <w:tcW w:type="dxa" w:w="1660"/>
            <w:shd w:fill="D9E2F3" w:val="clear"/>
            <w:tcMar>
              <w:top w:type="dxa" w:w="80"/>
              <w:left w:type="dxa" w:w="100"/>
              <w:bottom w:type="dxa" w:w="80"/>
              <w:right w:type="dxa" w:w="100"/>
            </w:tcMar>
          </w:tcPr>
          <w:p>
            <w:pPr>
              <w:jc w:val="center"/>
            </w:pPr>
            <w:r>
              <w:rPr>
                <w:b/>
                <w:bCs/>
                <w:i w:val="false"/>
                <w:iCs w:val="false"/>
              </w:rPr>
              <w:t xml:space="preserve">Custo unit. ($)</w:t>
            </w:r>
          </w:p>
        </w:tc>
      </w:tr>
      <w:tr>
        <w:tc>
          <w:tcPr>
            <w:tcW w:type="dxa" w:w="1330"/>
            <w:tcMar>
              <w:top w:type="dxa" w:w="80"/>
              <w:left w:type="dxa" w:w="100"/>
              <w:bottom w:type="dxa" w:w="80"/>
              <w:right w:type="dxa" w:w="100"/>
            </w:tcMar>
          </w:tcPr>
          <w:p>
            <w:pPr>
              <w:jc w:val="left"/>
            </w:pPr>
            <w:r>
              <w:rPr>
                <w:b w:val="false"/>
                <w:bCs w:val="false"/>
                <w:i w:val="false"/>
                <w:iCs w:val="false"/>
              </w:rPr>
              <w:t xml:space="preserve">Camisas</w:t>
            </w:r>
          </w:p>
        </w:tc>
        <w:tc>
          <w:tcPr>
            <w:tcW w:type="dxa" w:w="1005"/>
            <w:tcMar>
              <w:top w:type="dxa" w:w="80"/>
              <w:left w:type="dxa" w:w="100"/>
              <w:bottom w:type="dxa" w:w="80"/>
              <w:right w:type="dxa" w:w="100"/>
            </w:tcMar>
          </w:tcPr>
          <w:p>
            <w:pPr>
              <w:jc w:val="right"/>
            </w:pPr>
            <w:r>
              <w:rPr>
                <w:b w:val="false"/>
                <w:bCs w:val="false"/>
                <w:i w:val="false"/>
                <w:iCs w:val="false"/>
              </w:rPr>
              <w:t xml:space="preserve">128.000,00</w:t>
            </w:r>
          </w:p>
        </w:tc>
        <w:tc>
          <w:tcPr>
            <w:tcW w:type="dxa" w:w="1005"/>
            <w:tcMar>
              <w:top w:type="dxa" w:w="80"/>
              <w:left w:type="dxa" w:w="100"/>
              <w:bottom w:type="dxa" w:w="80"/>
              <w:right w:type="dxa" w:w="100"/>
            </w:tcMar>
          </w:tcPr>
          <w:p>
            <w:pPr>
              <w:jc w:val="right"/>
            </w:pPr>
            <w:r>
              <w:rPr>
                <w:b w:val="false"/>
                <w:bCs w:val="false"/>
                <w:i w:val="false"/>
                <w:iCs w:val="false"/>
              </w:rPr>
              <w:t xml:space="preserve">35,8%</w:t>
            </w:r>
          </w:p>
        </w:tc>
        <w:tc>
          <w:tcPr>
            <w:tcW w:type="dxa" w:w="1350"/>
            <w:tcMar>
              <w:top w:type="dxa" w:w="80"/>
              <w:left w:type="dxa" w:w="100"/>
              <w:bottom w:type="dxa" w:w="80"/>
              <w:right w:type="dxa" w:w="100"/>
            </w:tcMar>
          </w:tcPr>
          <w:p>
            <w:pPr>
              <w:jc w:val="right"/>
            </w:pPr>
            <w:r>
              <w:rPr>
                <w:b w:val="false"/>
                <w:bCs w:val="false"/>
                <w:i w:val="false"/>
                <w:iCs w:val="false"/>
              </w:rPr>
              <w:t xml:space="preserve">128.715,08</w:t>
            </w:r>
          </w:p>
        </w:tc>
        <w:tc>
          <w:tcPr>
            <w:tcW w:type="dxa" w:w="1350"/>
            <w:tcMar>
              <w:top w:type="dxa" w:w="80"/>
              <w:left w:type="dxa" w:w="100"/>
              <w:bottom w:type="dxa" w:w="80"/>
              <w:right w:type="dxa" w:w="100"/>
            </w:tcMar>
          </w:tcPr>
          <w:p>
            <w:pPr>
              <w:jc w:val="right"/>
            </w:pPr>
            <w:r>
              <w:rPr>
                <w:b w:val="false"/>
                <w:bCs w:val="false"/>
                <w:i w:val="false"/>
                <w:iCs w:val="false"/>
              </w:rPr>
              <w:t xml:space="preserve">320.000,00</w:t>
            </w:r>
          </w:p>
        </w:tc>
        <w:tc>
          <w:tcPr>
            <w:tcW w:type="dxa" w:w="1660"/>
            <w:tcMar>
              <w:top w:type="dxa" w:w="80"/>
              <w:left w:type="dxa" w:w="100"/>
              <w:bottom w:type="dxa" w:w="80"/>
              <w:right w:type="dxa" w:w="100"/>
            </w:tcMar>
          </w:tcPr>
          <w:p>
            <w:pPr>
              <w:jc w:val="right"/>
            </w:pPr>
            <w:r>
              <w:rPr>
                <w:b w:val="false"/>
                <w:bCs w:val="false"/>
                <w:i w:val="false"/>
                <w:iCs w:val="false"/>
              </w:rPr>
              <w:t xml:space="preserve">448.715,08</w:t>
            </w:r>
          </w:p>
        </w:tc>
        <w:tc>
          <w:tcPr>
            <w:tcW w:type="dxa" w:w="1660"/>
            <w:tcMar>
              <w:top w:type="dxa" w:w="80"/>
              <w:left w:type="dxa" w:w="100"/>
              <w:bottom w:type="dxa" w:w="80"/>
              <w:right w:type="dxa" w:w="100"/>
            </w:tcMar>
          </w:tcPr>
          <w:p>
            <w:pPr>
              <w:jc w:val="right"/>
            </w:pPr>
            <w:r>
              <w:rPr>
                <w:b w:val="false"/>
                <w:bCs w:val="false"/>
                <w:i w:val="false"/>
                <w:iCs w:val="false"/>
              </w:rPr>
              <w:t xml:space="preserve">11,2179</w:t>
            </w:r>
          </w:p>
        </w:tc>
      </w:tr>
      <w:tr>
        <w:tc>
          <w:tcPr>
            <w:tcW w:type="dxa" w:w="1330"/>
            <w:tcMar>
              <w:top w:type="dxa" w:w="80"/>
              <w:left w:type="dxa" w:w="100"/>
              <w:bottom w:type="dxa" w:w="80"/>
              <w:right w:type="dxa" w:w="100"/>
            </w:tcMar>
          </w:tcPr>
          <w:p>
            <w:pPr>
              <w:jc w:val="left"/>
            </w:pPr>
            <w:r>
              <w:rPr>
                <w:b w:val="false"/>
                <w:bCs w:val="false"/>
                <w:i w:val="false"/>
                <w:iCs w:val="false"/>
              </w:rPr>
              <w:t xml:space="preserve">Calças jeans</w:t>
            </w:r>
          </w:p>
        </w:tc>
        <w:tc>
          <w:tcPr>
            <w:tcW w:type="dxa" w:w="1005"/>
            <w:tcMar>
              <w:top w:type="dxa" w:w="80"/>
              <w:left w:type="dxa" w:w="100"/>
              <w:bottom w:type="dxa" w:w="80"/>
              <w:right w:type="dxa" w:w="100"/>
            </w:tcMar>
          </w:tcPr>
          <w:p>
            <w:pPr>
              <w:jc w:val="right"/>
            </w:pPr>
            <w:r>
              <w:rPr>
                <w:b w:val="false"/>
                <w:bCs w:val="false"/>
                <w:i w:val="false"/>
                <w:iCs w:val="false"/>
              </w:rPr>
              <w:t xml:space="preserve">130.000,00</w:t>
            </w:r>
          </w:p>
        </w:tc>
        <w:tc>
          <w:tcPr>
            <w:tcW w:type="dxa" w:w="1005"/>
            <w:tcMar>
              <w:top w:type="dxa" w:w="80"/>
              <w:left w:type="dxa" w:w="100"/>
              <w:bottom w:type="dxa" w:w="80"/>
              <w:right w:type="dxa" w:w="100"/>
            </w:tcMar>
          </w:tcPr>
          <w:p>
            <w:pPr>
              <w:jc w:val="right"/>
            </w:pPr>
            <w:r>
              <w:rPr>
                <w:b w:val="false"/>
                <w:bCs w:val="false"/>
                <w:i w:val="false"/>
                <w:iCs w:val="false"/>
              </w:rPr>
              <w:t xml:space="preserve">36,3%</w:t>
            </w:r>
          </w:p>
        </w:tc>
        <w:tc>
          <w:tcPr>
            <w:tcW w:type="dxa" w:w="1350"/>
            <w:tcMar>
              <w:top w:type="dxa" w:w="80"/>
              <w:left w:type="dxa" w:w="100"/>
              <w:bottom w:type="dxa" w:w="80"/>
              <w:right w:type="dxa" w:w="100"/>
            </w:tcMar>
          </w:tcPr>
          <w:p>
            <w:pPr>
              <w:jc w:val="right"/>
            </w:pPr>
            <w:r>
              <w:rPr>
                <w:b w:val="false"/>
                <w:bCs w:val="false"/>
                <w:i w:val="false"/>
                <w:iCs w:val="false"/>
              </w:rPr>
              <w:t xml:space="preserve">130.726,26</w:t>
            </w:r>
          </w:p>
        </w:tc>
        <w:tc>
          <w:tcPr>
            <w:tcW w:type="dxa" w:w="1350"/>
            <w:tcMar>
              <w:top w:type="dxa" w:w="80"/>
              <w:left w:type="dxa" w:w="100"/>
              <w:bottom w:type="dxa" w:w="80"/>
              <w:right w:type="dxa" w:w="100"/>
            </w:tcMar>
          </w:tcPr>
          <w:p>
            <w:pPr>
              <w:jc w:val="right"/>
            </w:pPr>
            <w:r>
              <w:rPr>
                <w:b w:val="false"/>
                <w:bCs w:val="false"/>
                <w:i w:val="false"/>
                <w:iCs w:val="false"/>
              </w:rPr>
              <w:t xml:space="preserve">370.000,00</w:t>
            </w:r>
          </w:p>
        </w:tc>
        <w:tc>
          <w:tcPr>
            <w:tcW w:type="dxa" w:w="1660"/>
            <w:tcMar>
              <w:top w:type="dxa" w:w="80"/>
              <w:left w:type="dxa" w:w="100"/>
              <w:bottom w:type="dxa" w:w="80"/>
              <w:right w:type="dxa" w:w="100"/>
            </w:tcMar>
          </w:tcPr>
          <w:p>
            <w:pPr>
              <w:jc w:val="right"/>
            </w:pPr>
            <w:r>
              <w:rPr>
                <w:b w:val="false"/>
                <w:bCs w:val="false"/>
                <w:i w:val="false"/>
                <w:iCs w:val="false"/>
              </w:rPr>
              <w:t xml:space="preserve">500.726,26</w:t>
            </w:r>
          </w:p>
        </w:tc>
        <w:tc>
          <w:tcPr>
            <w:tcW w:type="dxa" w:w="1660"/>
            <w:tcMar>
              <w:top w:type="dxa" w:w="80"/>
              <w:left w:type="dxa" w:w="100"/>
              <w:bottom w:type="dxa" w:w="80"/>
              <w:right w:type="dxa" w:w="100"/>
            </w:tcMar>
          </w:tcPr>
          <w:p>
            <w:pPr>
              <w:jc w:val="right"/>
            </w:pPr>
            <w:r>
              <w:rPr>
                <w:b w:val="false"/>
                <w:bCs w:val="false"/>
                <w:i w:val="false"/>
                <w:iCs w:val="false"/>
              </w:rPr>
              <w:t xml:space="preserve">25,0363</w:t>
            </w:r>
          </w:p>
        </w:tc>
      </w:tr>
      <w:tr>
        <w:tc>
          <w:tcPr>
            <w:tcW w:type="dxa" w:w="1330"/>
            <w:tcMar>
              <w:top w:type="dxa" w:w="80"/>
              <w:left w:type="dxa" w:w="100"/>
              <w:bottom w:type="dxa" w:w="80"/>
              <w:right w:type="dxa" w:w="100"/>
            </w:tcMar>
          </w:tcPr>
          <w:p>
            <w:pPr>
              <w:jc w:val="left"/>
            </w:pPr>
            <w:r>
              <w:rPr>
                <w:b w:val="false"/>
                <w:bCs w:val="false"/>
                <w:i w:val="false"/>
                <w:iCs w:val="false"/>
              </w:rPr>
              <w:t xml:space="preserve">Uniformes</w:t>
            </w:r>
          </w:p>
        </w:tc>
        <w:tc>
          <w:tcPr>
            <w:tcW w:type="dxa" w:w="1005"/>
            <w:tcMar>
              <w:top w:type="dxa" w:w="80"/>
              <w:left w:type="dxa" w:w="100"/>
              <w:bottom w:type="dxa" w:w="80"/>
              <w:right w:type="dxa" w:w="100"/>
            </w:tcMar>
          </w:tcPr>
          <w:p>
            <w:pPr>
              <w:jc w:val="right"/>
            </w:pPr>
            <w:r>
              <w:rPr>
                <w:b w:val="false"/>
                <w:bCs w:val="false"/>
                <w:i w:val="false"/>
                <w:iCs w:val="false"/>
              </w:rPr>
              <w:t xml:space="preserve">100.000,00</w:t>
            </w:r>
          </w:p>
        </w:tc>
        <w:tc>
          <w:tcPr>
            <w:tcW w:type="dxa" w:w="1005"/>
            <w:tcMar>
              <w:top w:type="dxa" w:w="80"/>
              <w:left w:type="dxa" w:w="100"/>
              <w:bottom w:type="dxa" w:w="80"/>
              <w:right w:type="dxa" w:w="100"/>
            </w:tcMar>
          </w:tcPr>
          <w:p>
            <w:pPr>
              <w:jc w:val="right"/>
            </w:pPr>
            <w:r>
              <w:rPr>
                <w:b w:val="false"/>
                <w:bCs w:val="false"/>
                <w:i w:val="false"/>
                <w:iCs w:val="false"/>
              </w:rPr>
              <w:t xml:space="preserve">27,9%</w:t>
            </w:r>
          </w:p>
        </w:tc>
        <w:tc>
          <w:tcPr>
            <w:tcW w:type="dxa" w:w="1350"/>
            <w:tcMar>
              <w:top w:type="dxa" w:w="80"/>
              <w:left w:type="dxa" w:w="100"/>
              <w:bottom w:type="dxa" w:w="80"/>
              <w:right w:type="dxa" w:w="100"/>
            </w:tcMar>
          </w:tcPr>
          <w:p>
            <w:pPr>
              <w:jc w:val="right"/>
            </w:pPr>
            <w:r>
              <w:rPr>
                <w:b w:val="false"/>
                <w:bCs w:val="false"/>
                <w:i w:val="false"/>
                <w:iCs w:val="false"/>
              </w:rPr>
              <w:t xml:space="preserve">100.558,66</w:t>
            </w:r>
          </w:p>
        </w:tc>
        <w:tc>
          <w:tcPr>
            <w:tcW w:type="dxa" w:w="1350"/>
            <w:tcMar>
              <w:top w:type="dxa" w:w="80"/>
              <w:left w:type="dxa" w:w="100"/>
              <w:bottom w:type="dxa" w:w="80"/>
              <w:right w:type="dxa" w:w="100"/>
            </w:tcMar>
          </w:tcPr>
          <w:p>
            <w:pPr>
              <w:jc w:val="right"/>
            </w:pPr>
            <w:r>
              <w:rPr>
                <w:b w:val="false"/>
                <w:bCs w:val="false"/>
                <w:i w:val="false"/>
                <w:iCs w:val="false"/>
              </w:rPr>
              <w:t xml:space="preserve">280.000,00</w:t>
            </w:r>
          </w:p>
        </w:tc>
        <w:tc>
          <w:tcPr>
            <w:tcW w:type="dxa" w:w="1660"/>
            <w:tcMar>
              <w:top w:type="dxa" w:w="80"/>
              <w:left w:type="dxa" w:w="100"/>
              <w:bottom w:type="dxa" w:w="80"/>
              <w:right w:type="dxa" w:w="100"/>
            </w:tcMar>
          </w:tcPr>
          <w:p>
            <w:pPr>
              <w:jc w:val="right"/>
            </w:pPr>
            <w:r>
              <w:rPr>
                <w:b w:val="false"/>
                <w:bCs w:val="false"/>
                <w:i w:val="false"/>
                <w:iCs w:val="false"/>
              </w:rPr>
              <w:t xml:space="preserve">380.558,66</w:t>
            </w:r>
          </w:p>
        </w:tc>
        <w:tc>
          <w:tcPr>
            <w:tcW w:type="dxa" w:w="1660"/>
            <w:tcMar>
              <w:top w:type="dxa" w:w="80"/>
              <w:left w:type="dxa" w:w="100"/>
              <w:bottom w:type="dxa" w:w="80"/>
              <w:right w:type="dxa" w:w="100"/>
            </w:tcMar>
          </w:tcPr>
          <w:p>
            <w:pPr>
              <w:jc w:val="right"/>
            </w:pPr>
            <w:r>
              <w:rPr>
                <w:b w:val="false"/>
                <w:bCs w:val="false"/>
                <w:i w:val="false"/>
                <w:iCs w:val="false"/>
              </w:rPr>
              <w:t xml:space="preserve">19,0279</w:t>
            </w:r>
          </w:p>
        </w:tc>
      </w:tr>
      <w:tr>
        <w:tc>
          <w:tcPr>
            <w:tcW w:type="dxa" w:w="1330"/>
            <w:tcMar>
              <w:top w:type="dxa" w:w="80"/>
              <w:left w:type="dxa" w:w="100"/>
              <w:bottom w:type="dxa" w:w="80"/>
              <w:right w:type="dxa" w:w="100"/>
            </w:tcMar>
          </w:tcPr>
          <w:p>
            <w:pPr>
              <w:jc w:val="left"/>
            </w:pPr>
            <w:r>
              <w:rPr>
                <w:b w:val="false"/>
                <w:bCs w:val="false"/>
                <w:i w:val="false"/>
                <w:iCs w:val="false"/>
              </w:rPr>
              <w:t xml:space="preserve">Total</w:t>
            </w:r>
          </w:p>
        </w:tc>
        <w:tc>
          <w:tcPr>
            <w:tcW w:type="dxa" w:w="1005"/>
            <w:tcMar>
              <w:top w:type="dxa" w:w="80"/>
              <w:left w:type="dxa" w:w="100"/>
              <w:bottom w:type="dxa" w:w="80"/>
              <w:right w:type="dxa" w:w="100"/>
            </w:tcMar>
          </w:tcPr>
          <w:p>
            <w:pPr>
              <w:jc w:val="right"/>
            </w:pPr>
            <w:r>
              <w:rPr>
                <w:b w:val="false"/>
                <w:bCs w:val="false"/>
                <w:i w:val="false"/>
                <w:iCs w:val="false"/>
              </w:rPr>
              <w:t xml:space="preserve">358.000,00</w:t>
            </w:r>
          </w:p>
        </w:tc>
        <w:tc>
          <w:tcPr>
            <w:tcW w:type="dxa" w:w="1005"/>
            <w:tcMar>
              <w:top w:type="dxa" w:w="80"/>
              <w:left w:type="dxa" w:w="100"/>
              <w:bottom w:type="dxa" w:w="80"/>
              <w:right w:type="dxa" w:w="100"/>
            </w:tcMar>
          </w:tcPr>
          <w:p>
            <w:pPr>
              <w:jc w:val="right"/>
            </w:pPr>
            <w:r>
              <w:rPr>
                <w:b w:val="false"/>
                <w:bCs w:val="false"/>
                <w:i w:val="false"/>
                <w:iCs w:val="false"/>
              </w:rPr>
              <w:t xml:space="preserve">100,0%</w:t>
            </w:r>
          </w:p>
        </w:tc>
        <w:tc>
          <w:tcPr>
            <w:tcW w:type="dxa" w:w="1350"/>
            <w:tcMar>
              <w:top w:type="dxa" w:w="80"/>
              <w:left w:type="dxa" w:w="100"/>
              <w:bottom w:type="dxa" w:w="80"/>
              <w:right w:type="dxa" w:w="100"/>
            </w:tcMar>
          </w:tcPr>
          <w:p>
            <w:pPr>
              <w:jc w:val="right"/>
            </w:pPr>
            <w:r>
              <w:rPr>
                <w:b w:val="false"/>
                <w:bCs w:val="false"/>
                <w:i w:val="false"/>
                <w:iCs w:val="false"/>
              </w:rPr>
              <w:t xml:space="preserve">360.000,00</w:t>
            </w:r>
          </w:p>
        </w:tc>
        <w:tc>
          <w:tcPr>
            <w:tcW w:type="dxa" w:w="1350"/>
            <w:tcMar>
              <w:top w:type="dxa" w:w="80"/>
              <w:left w:type="dxa" w:w="100"/>
              <w:bottom w:type="dxa" w:w="80"/>
              <w:right w:type="dxa" w:w="100"/>
            </w:tcMar>
          </w:tcPr>
          <w:p>
            <w:pPr>
              <w:jc w:val="right"/>
            </w:pPr>
            <w:r>
              <w:rPr>
                <w:b w:val="false"/>
                <w:bCs w:val="false"/>
                <w:i w:val="false"/>
                <w:iCs w:val="false"/>
              </w:rPr>
              <w:t xml:space="preserve">970.000,00</w:t>
            </w:r>
          </w:p>
        </w:tc>
        <w:tc>
          <w:tcPr>
            <w:tcW w:type="dxa" w:w="1660"/>
            <w:tcMar>
              <w:top w:type="dxa" w:w="80"/>
              <w:left w:type="dxa" w:w="100"/>
              <w:bottom w:type="dxa" w:w="80"/>
              <w:right w:type="dxa" w:w="100"/>
            </w:tcMar>
          </w:tcPr>
          <w:p>
            <w:pPr>
              <w:jc w:val="right"/>
            </w:pPr>
            <w:r>
              <w:rPr>
                <w:b w:val="false"/>
                <w:bCs w:val="false"/>
                <w:i w:val="false"/>
                <w:iCs w:val="false"/>
              </w:rPr>
              <w:t xml:space="preserve">1.330.000,00</w:t>
            </w:r>
          </w:p>
        </w:tc>
        <w:tc>
          <w:tcPr>
            <w:tcW w:type="dxa" w:w="1660"/>
            <w:tcMar>
              <w:top w:type="dxa" w:w="80"/>
              <w:left w:type="dxa" w:w="100"/>
              <w:bottom w:type="dxa" w:w="80"/>
              <w:right w:type="dxa" w:w="100"/>
            </w:tcMar>
          </w:tcPr>
          <w:p>
            <w:pPr>
              <w:jc w:val="right"/>
            </w:pPr>
            <w:r>
              <w:rPr>
                <w:b w:val="false"/>
                <w:bCs w:val="false"/>
                <w:i w:val="false"/>
                <w:iCs w:val="false"/>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D9E2F3" w:val="clear"/>
            <w:tcMar>
              <w:top w:type="dxa" w:w="80"/>
              <w:left w:type="dxa" w:w="100"/>
              <w:bottom w:type="dxa" w:w="80"/>
              <w:right w:type="dxa" w:w="100"/>
            </w:tcMar>
          </w:tcPr>
          <w:p>
            <w:pPr>
              <w:jc w:val="center"/>
            </w:pPr>
            <w:r>
              <w:rPr>
                <w:b/>
                <w:bCs/>
                <w:i w:val="false"/>
                <w:iCs w:val="false"/>
              </w:rPr>
              <w:t xml:space="preserve">Produto</w:t>
            </w:r>
          </w:p>
        </w:tc>
        <w:tc>
          <w:tcPr>
            <w:tcW w:type="dxa" w:w="2340"/>
            <w:shd w:fill="D9E2F3" w:val="clear"/>
            <w:tcMar>
              <w:top w:type="dxa" w:w="80"/>
              <w:left w:type="dxa" w:w="100"/>
              <w:bottom w:type="dxa" w:w="80"/>
              <w:right w:type="dxa" w:w="100"/>
            </w:tcMar>
          </w:tcPr>
          <w:p>
            <w:pPr>
              <w:jc w:val="center"/>
            </w:pPr>
            <w:r>
              <w:rPr>
                <w:b/>
                <w:bCs/>
                <w:i w:val="false"/>
                <w:iCs w:val="false"/>
              </w:rPr>
              <w:t xml:space="preserve">Lucro bruto (rateio volume) ($)</w:t>
            </w:r>
          </w:p>
        </w:tc>
        <w:tc>
          <w:tcPr>
            <w:tcW w:type="dxa" w:w="2340"/>
            <w:shd w:fill="D9E2F3" w:val="clear"/>
            <w:tcMar>
              <w:top w:type="dxa" w:w="80"/>
              <w:left w:type="dxa" w:w="100"/>
              <w:bottom w:type="dxa" w:w="80"/>
              <w:right w:type="dxa" w:w="100"/>
            </w:tcMar>
          </w:tcPr>
          <w:p>
            <w:pPr>
              <w:jc w:val="center"/>
            </w:pPr>
            <w:r>
              <w:rPr>
                <w:b/>
                <w:bCs/>
                <w:i w:val="false"/>
                <w:iCs w:val="false"/>
              </w:rPr>
              <w:t xml:space="preserve">Lucro bruto (rateio MOD) ($)</w:t>
            </w:r>
          </w:p>
        </w:tc>
        <w:tc>
          <w:tcPr>
            <w:tcW w:type="dxa" w:w="2340"/>
            <w:shd w:fill="D9E2F3" w:val="clear"/>
            <w:tcMar>
              <w:top w:type="dxa" w:w="80"/>
              <w:left w:type="dxa" w:w="100"/>
              <w:bottom w:type="dxa" w:w="80"/>
              <w:right w:type="dxa" w:w="100"/>
            </w:tcMar>
          </w:tcPr>
          <w:p>
            <w:pPr>
              <w:jc w:val="center"/>
            </w:pPr>
            <w:r>
              <w:rPr>
                <w:b/>
                <w:bCs/>
                <w:i w:val="false"/>
                <w:iCs w:val="false"/>
              </w:rPr>
              <w:t xml:space="preserve">Diferença ($)</w:t>
            </w:r>
          </w:p>
        </w:tc>
      </w:tr>
      <w:tr>
        <w:tc>
          <w:tcPr>
            <w:tcW w:type="dxa" w:w="2340"/>
            <w:tcMar>
              <w:top w:type="dxa" w:w="80"/>
              <w:left w:type="dxa" w:w="100"/>
              <w:bottom w:type="dxa" w:w="80"/>
              <w:right w:type="dxa" w:w="100"/>
            </w:tcMar>
          </w:tcPr>
          <w:p>
            <w:pPr>
              <w:jc w:val="left"/>
            </w:pPr>
            <w:r>
              <w:rPr>
                <w:b w:val="false"/>
                <w:bCs w:val="false"/>
                <w:i w:val="false"/>
                <w:iCs w:val="false"/>
              </w:rPr>
              <w:t xml:space="preserve">Camisas</w:t>
            </w:r>
          </w:p>
        </w:tc>
        <w:tc>
          <w:tcPr>
            <w:tcW w:type="dxa" w:w="2340"/>
            <w:tcMar>
              <w:top w:type="dxa" w:w="80"/>
              <w:left w:type="dxa" w:w="100"/>
              <w:bottom w:type="dxa" w:w="80"/>
              <w:right w:type="dxa" w:w="100"/>
            </w:tcMar>
          </w:tcPr>
          <w:p>
            <w:pPr>
              <w:jc w:val="right"/>
            </w:pPr>
            <w:r>
              <w:rPr>
                <w:b w:val="false"/>
                <w:bCs w:val="false"/>
                <w:i w:val="false"/>
                <w:iCs w:val="false"/>
              </w:rPr>
              <w:t xml:space="preserve">780.000,00</w:t>
            </w:r>
          </w:p>
        </w:tc>
        <w:tc>
          <w:tcPr>
            <w:tcW w:type="dxa" w:w="2340"/>
            <w:tcMar>
              <w:top w:type="dxa" w:w="80"/>
              <w:left w:type="dxa" w:w="100"/>
              <w:bottom w:type="dxa" w:w="80"/>
              <w:right w:type="dxa" w:w="100"/>
            </w:tcMar>
          </w:tcPr>
          <w:p>
            <w:pPr>
              <w:jc w:val="right"/>
            </w:pPr>
            <w:r>
              <w:rPr>
                <w:b w:val="false"/>
                <w:bCs w:val="false"/>
                <w:i w:val="false"/>
                <w:iCs w:val="false"/>
              </w:rPr>
              <w:t xml:space="preserve">831.284,92</w:t>
            </w:r>
          </w:p>
        </w:tc>
        <w:tc>
          <w:tcPr>
            <w:tcW w:type="dxa" w:w="2340"/>
            <w:tcMar>
              <w:top w:type="dxa" w:w="80"/>
              <w:left w:type="dxa" w:w="100"/>
              <w:bottom w:type="dxa" w:w="80"/>
              <w:right w:type="dxa" w:w="100"/>
            </w:tcMar>
          </w:tcPr>
          <w:p>
            <w:pPr>
              <w:jc w:val="right"/>
            </w:pPr>
            <w:r>
              <w:rPr>
                <w:b w:val="false"/>
                <w:bCs w:val="false"/>
                <w:i w:val="false"/>
                <w:iCs w:val="false"/>
              </w:rPr>
              <w:t xml:space="preserve">51.284,92</w:t>
            </w:r>
          </w:p>
        </w:tc>
      </w:tr>
      <w:tr>
        <w:tc>
          <w:tcPr>
            <w:tcW w:type="dxa" w:w="2340"/>
            <w:tcMar>
              <w:top w:type="dxa" w:w="80"/>
              <w:left w:type="dxa" w:w="100"/>
              <w:bottom w:type="dxa" w:w="80"/>
              <w:right w:type="dxa" w:w="100"/>
            </w:tcMar>
          </w:tcPr>
          <w:p>
            <w:pPr>
              <w:jc w:val="left"/>
            </w:pPr>
            <w:r>
              <w:rPr>
                <w:b w:val="false"/>
                <w:bCs w:val="false"/>
                <w:i w:val="false"/>
                <w:iCs w:val="false"/>
              </w:rPr>
              <w:t xml:space="preserve">Calças jeans</w:t>
            </w:r>
          </w:p>
        </w:tc>
        <w:tc>
          <w:tcPr>
            <w:tcW w:type="dxa" w:w="2340"/>
            <w:tcMar>
              <w:top w:type="dxa" w:w="80"/>
              <w:left w:type="dxa" w:w="100"/>
              <w:bottom w:type="dxa" w:w="80"/>
              <w:right w:type="dxa" w:w="100"/>
            </w:tcMar>
          </w:tcPr>
          <w:p>
            <w:pPr>
              <w:jc w:val="right"/>
            </w:pPr>
            <w:r>
              <w:rPr>
                <w:b w:val="false"/>
                <w:bCs w:val="false"/>
                <w:i w:val="false"/>
                <w:iCs w:val="false"/>
              </w:rPr>
              <w:t xml:space="preserve">900.000,00</w:t>
            </w:r>
          </w:p>
        </w:tc>
        <w:tc>
          <w:tcPr>
            <w:tcW w:type="dxa" w:w="2340"/>
            <w:tcMar>
              <w:top w:type="dxa" w:w="80"/>
              <w:left w:type="dxa" w:w="100"/>
              <w:bottom w:type="dxa" w:w="80"/>
              <w:right w:type="dxa" w:w="100"/>
            </w:tcMar>
          </w:tcPr>
          <w:p>
            <w:pPr>
              <w:jc w:val="right"/>
            </w:pPr>
            <w:r>
              <w:rPr>
                <w:b w:val="false"/>
                <w:bCs w:val="false"/>
                <w:i w:val="false"/>
                <w:iCs w:val="false"/>
              </w:rPr>
              <w:t xml:space="preserve">859.273,74</w:t>
            </w:r>
          </w:p>
        </w:tc>
        <w:tc>
          <w:tcPr>
            <w:tcW w:type="dxa" w:w="2340"/>
            <w:tcMar>
              <w:top w:type="dxa" w:w="80"/>
              <w:left w:type="dxa" w:w="100"/>
              <w:bottom w:type="dxa" w:w="80"/>
              <w:right w:type="dxa" w:w="100"/>
            </w:tcMar>
          </w:tcPr>
          <w:p>
            <w:pPr>
              <w:jc w:val="right"/>
            </w:pPr>
            <w:r>
              <w:rPr>
                <w:b w:val="false"/>
                <w:bCs w:val="false"/>
                <w:i w:val="false"/>
                <w:iCs w:val="false"/>
              </w:rPr>
              <w:t xml:space="preserve">(40.726,26)</w:t>
            </w:r>
          </w:p>
        </w:tc>
      </w:tr>
      <w:tr>
        <w:tc>
          <w:tcPr>
            <w:tcW w:type="dxa" w:w="2340"/>
            <w:tcMar>
              <w:top w:type="dxa" w:w="80"/>
              <w:left w:type="dxa" w:w="100"/>
              <w:bottom w:type="dxa" w:w="80"/>
              <w:right w:type="dxa" w:w="100"/>
            </w:tcMar>
          </w:tcPr>
          <w:p>
            <w:pPr>
              <w:jc w:val="left"/>
            </w:pPr>
            <w:r>
              <w:rPr>
                <w:b w:val="false"/>
                <w:bCs w:val="false"/>
                <w:i w:val="false"/>
                <w:iCs w:val="false"/>
              </w:rPr>
              <w:t xml:space="preserve">Uniformes</w:t>
            </w:r>
          </w:p>
        </w:tc>
        <w:tc>
          <w:tcPr>
            <w:tcW w:type="dxa" w:w="2340"/>
            <w:tcMar>
              <w:top w:type="dxa" w:w="80"/>
              <w:left w:type="dxa" w:w="100"/>
              <w:bottom w:type="dxa" w:w="80"/>
              <w:right w:type="dxa" w:w="100"/>
            </w:tcMar>
          </w:tcPr>
          <w:p>
            <w:pPr>
              <w:jc w:val="right"/>
            </w:pPr>
            <w:r>
              <w:rPr>
                <w:b w:val="false"/>
                <w:bCs w:val="false"/>
                <w:i w:val="false"/>
                <w:iCs w:val="false"/>
              </w:rPr>
              <w:t xml:space="preserve">530.000,00</w:t>
            </w:r>
          </w:p>
        </w:tc>
        <w:tc>
          <w:tcPr>
            <w:tcW w:type="dxa" w:w="2340"/>
            <w:tcMar>
              <w:top w:type="dxa" w:w="80"/>
              <w:left w:type="dxa" w:w="100"/>
              <w:bottom w:type="dxa" w:w="80"/>
              <w:right w:type="dxa" w:w="100"/>
            </w:tcMar>
          </w:tcPr>
          <w:p>
            <w:pPr>
              <w:jc w:val="right"/>
            </w:pPr>
            <w:r>
              <w:rPr>
                <w:b w:val="false"/>
                <w:bCs w:val="false"/>
                <w:i w:val="false"/>
                <w:iCs w:val="false"/>
              </w:rPr>
              <w:t xml:space="preserve">519.441,34</w:t>
            </w:r>
          </w:p>
        </w:tc>
        <w:tc>
          <w:tcPr>
            <w:tcW w:type="dxa" w:w="2340"/>
            <w:tcMar>
              <w:top w:type="dxa" w:w="80"/>
              <w:left w:type="dxa" w:w="100"/>
              <w:bottom w:type="dxa" w:w="80"/>
              <w:right w:type="dxa" w:w="100"/>
            </w:tcMar>
          </w:tcPr>
          <w:p>
            <w:pPr>
              <w:jc w:val="right"/>
            </w:pPr>
            <w:r>
              <w:rPr>
                <w:b w:val="false"/>
                <w:bCs w:val="false"/>
                <w:i w:val="false"/>
                <w:iCs w:val="false"/>
              </w:rPr>
              <w:t xml:space="preserve">(10.558,66)</w:t>
            </w:r>
          </w:p>
        </w:tc>
      </w:tr>
      <w:tr>
        <w:tc>
          <w:tcPr>
            <w:tcW w:type="dxa" w:w="2340"/>
            <w:tcMar>
              <w:top w:type="dxa" w:w="80"/>
              <w:left w:type="dxa" w:w="100"/>
              <w:bottom w:type="dxa" w:w="80"/>
              <w:right w:type="dxa" w:w="100"/>
            </w:tcMar>
          </w:tcPr>
          <w:p>
            <w:pPr>
              <w:jc w:val="left"/>
            </w:pPr>
            <w:r>
              <w:rPr>
                <w:b w:val="false"/>
                <w:bCs w:val="false"/>
                <w:i w:val="false"/>
                <w:iCs w:val="false"/>
              </w:rPr>
              <w:t xml:space="preserve">Total</w:t>
            </w:r>
          </w:p>
        </w:tc>
        <w:tc>
          <w:tcPr>
            <w:tcW w:type="dxa" w:w="2340"/>
            <w:tcMar>
              <w:top w:type="dxa" w:w="80"/>
              <w:left w:type="dxa" w:w="100"/>
              <w:bottom w:type="dxa" w:w="80"/>
              <w:right w:type="dxa" w:w="100"/>
            </w:tcMar>
          </w:tcPr>
          <w:p>
            <w:pPr>
              <w:jc w:val="right"/>
            </w:pPr>
            <w:r>
              <w:rPr>
                <w:b w:val="false"/>
                <w:bCs w:val="false"/>
                <w:i w:val="false"/>
                <w:iCs w:val="false"/>
              </w:rPr>
              <w:t xml:space="preserve">2.210.000,00</w:t>
            </w:r>
          </w:p>
        </w:tc>
        <w:tc>
          <w:tcPr>
            <w:tcW w:type="dxa" w:w="2340"/>
            <w:tcMar>
              <w:top w:type="dxa" w:w="80"/>
              <w:left w:type="dxa" w:w="100"/>
              <w:bottom w:type="dxa" w:w="80"/>
              <w:right w:type="dxa" w:w="100"/>
            </w:tcMar>
          </w:tcPr>
          <w:p>
            <w:pPr>
              <w:jc w:val="right"/>
            </w:pPr>
            <w:r>
              <w:rPr>
                <w:b w:val="false"/>
                <w:bCs w:val="false"/>
                <w:i w:val="false"/>
                <w:iCs w:val="false"/>
              </w:rPr>
              <w:t xml:space="preserve">2.210.000,00</w:t>
            </w:r>
          </w:p>
        </w:tc>
        <w:tc>
          <w:tcPr>
            <w:tcW w:type="dxa" w:w="2340"/>
            <w:tcMar>
              <w:top w:type="dxa" w:w="80"/>
              <w:left w:type="dxa" w:w="100"/>
              <w:bottom w:type="dxa" w:w="80"/>
              <w:right w:type="dxa" w:w="100"/>
            </w:tcMar>
          </w:tcPr>
          <w:p>
            <w:pPr>
              <w:jc w:val="right"/>
            </w:pPr>
            <w:r>
              <w:rPr>
                <w:b w:val="false"/>
                <w:bCs w:val="false"/>
                <w:i w:val="false"/>
                <w:iCs w:val="false"/>
              </w:rPr>
              <w:t xml:space="preserve">0,00</w:t>
            </w:r>
          </w:p>
        </w:tc>
      </w:tr>
    </w:tbl>
    <w:p>
      <w:pPr>
        <w:spacing w:after="120"/>
      </w:pPr>
      <w:r>
        <w:t xml:space="preserve">Resposta d): o lucro bruto TOTAL da confecção é exatamente o mesmo nos dois critérios de rateio (diferença total zero) — a soma dos custos indiretos rateados é sempre igual ao total, qualquer que seja o critério escolhido. O que muda é a distribuição do resultado ENTRE as peças: as camisas, por exemplo, recebem uma fatia menor do rateio pelo critério MOD (que reflete sua baixa mão de obra por peça) do que pelo critério volume, aumentando seu lucro bruto aparente. Isso mostra que o critério de rateio é uma escolha até certo ponto arbitrária, que não muda o resultado da confecção como um todo, mas pode alterar bastante a rentabilidade aparente de cada peça.</w:t>
      </w:r>
    </w:p>
    <w:p>
      <w:pPr>
        <w:pStyle w:val="Heading1"/>
        <w:spacing w:after="150" w:before="300"/>
      </w:pPr>
      <w:r>
        <w:t xml:space="preserve">e) Proposta de terceirização dos uniformes ($ 375.000,00/ano) — custo de produção por absorção × custo evitável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9E2F3" w:val="clear"/>
            <w:tcMar>
              <w:top w:type="dxa" w:w="80"/>
              <w:left w:type="dxa" w:w="100"/>
              <w:bottom w:type="dxa" w:w="80"/>
              <w:right w:type="dxa" w:w="100"/>
            </w:tcMar>
          </w:tcPr>
          <w:p>
            <w:pPr>
              <w:jc w:val="center"/>
            </w:pPr>
            <w:r>
              <w:rPr>
                <w:b/>
                <w:bCs/>
                <w:i w:val="false"/>
                <w:iCs w:val="false"/>
              </w:rPr>
              <w:t xml:space="preserve">Comparação (incorreta)</w:t>
            </w:r>
          </w:p>
        </w:tc>
        <w:tc>
          <w:tcPr>
            <w:tcW w:type="dxa" w:w="4680"/>
            <w:shd w:fill="D9E2F3" w:val="clear"/>
            <w:tcMar>
              <w:top w:type="dxa" w:w="80"/>
              <w:left w:type="dxa" w:w="100"/>
              <w:bottom w:type="dxa" w:w="80"/>
              <w:right w:type="dxa" w:w="100"/>
            </w:tcMar>
          </w:tcPr>
          <w:p>
            <w:pPr>
              <w:jc w:val="center"/>
            </w:pPr>
            <w:r>
              <w:rPr>
                <w:b/>
                <w:bCs/>
                <w:i w:val="false"/>
                <w:iCs w:val="false"/>
              </w:rPr>
              <w:t xml:space="preserve">Valor ($)</w:t>
            </w:r>
          </w:p>
        </w:tc>
      </w:tr>
      <w:tr>
        <w:tc>
          <w:tcPr>
            <w:tcW w:type="dxa" w:w="4680"/>
            <w:tcMar>
              <w:top w:type="dxa" w:w="80"/>
              <w:left w:type="dxa" w:w="100"/>
              <w:bottom w:type="dxa" w:w="80"/>
              <w:right w:type="dxa" w:w="100"/>
            </w:tcMar>
          </w:tcPr>
          <w:p>
            <w:pPr>
              <w:jc w:val="left"/>
            </w:pPr>
            <w:r>
              <w:rPr>
                <w:b w:val="false"/>
                <w:bCs w:val="false"/>
                <w:i w:val="false"/>
                <w:iCs w:val="false"/>
              </w:rPr>
              <w:t xml:space="preserve">Custo de produção por absorção dos uniformes (rateio por volume)</w:t>
            </w:r>
          </w:p>
        </w:tc>
        <w:tc>
          <w:tcPr>
            <w:tcW w:type="dxa" w:w="4680"/>
            <w:tcMar>
              <w:top w:type="dxa" w:w="80"/>
              <w:left w:type="dxa" w:w="100"/>
              <w:bottom w:type="dxa" w:w="80"/>
              <w:right w:type="dxa" w:w="100"/>
            </w:tcMar>
          </w:tcPr>
          <w:p>
            <w:pPr>
              <w:jc w:val="right"/>
            </w:pPr>
            <w:r>
              <w:rPr>
                <w:b w:val="false"/>
                <w:bCs w:val="false"/>
                <w:i w:val="false"/>
                <w:iCs w:val="false"/>
              </w:rPr>
              <w:t xml:space="preserve">370.000,00</w:t>
            </w:r>
          </w:p>
        </w:tc>
      </w:tr>
      <w:tr>
        <w:tc>
          <w:tcPr>
            <w:tcW w:type="dxa" w:w="4680"/>
            <w:tcMar>
              <w:top w:type="dxa" w:w="80"/>
              <w:left w:type="dxa" w:w="100"/>
              <w:bottom w:type="dxa" w:w="80"/>
              <w:right w:type="dxa" w:w="100"/>
            </w:tcMar>
          </w:tcPr>
          <w:p>
            <w:pPr>
              <w:jc w:val="left"/>
            </w:pPr>
            <w:r>
              <w:rPr>
                <w:b w:val="false"/>
                <w:bCs w:val="false"/>
                <w:i w:val="false"/>
                <w:iCs w:val="false"/>
              </w:rPr>
              <w:t xml:space="preserve">Custo de produção por absorção dos uniformes (rateio por MOD)</w:t>
            </w:r>
          </w:p>
        </w:tc>
        <w:tc>
          <w:tcPr>
            <w:tcW w:type="dxa" w:w="4680"/>
            <w:tcMar>
              <w:top w:type="dxa" w:w="80"/>
              <w:left w:type="dxa" w:w="100"/>
              <w:bottom w:type="dxa" w:w="80"/>
              <w:right w:type="dxa" w:w="100"/>
            </w:tcMar>
          </w:tcPr>
          <w:p>
            <w:pPr>
              <w:jc w:val="right"/>
            </w:pPr>
            <w:r>
              <w:rPr>
                <w:b w:val="false"/>
                <w:bCs w:val="false"/>
                <w:i w:val="false"/>
                <w:iCs w:val="false"/>
              </w:rPr>
              <w:t xml:space="preserve">380.558,66</w:t>
            </w:r>
          </w:p>
        </w:tc>
      </w:tr>
    </w:tbl>
    <w:p>
      <w:pPr>
        <w:spacing w:after="120"/>
      </w:pPr>
      <w:r>
        <w:t xml:space="preserve">Comparando com a proposta de $ 375.000,00: pelo rateio por volume, o custo de produção por absorção dos uniformes ($ 370.000,00) é menor que a proposta — pareceria correto rejeitar. MAS pelo rateio por MOD, o custo de produção por absorção ($ 380.558,66) é MAIOR que a proposta — o mesmo método levaria a ACEITAR. Uma decisão de terceirização mudando de resposta só porque se trocou o critério de rateio (uma escolha arbitrária, sem nenhuma relação com o que realmente deixaria de ser gasto) é o sinal claro de que o custo de produção por absorção é o indicador ERRADO para essa decisão — ele inclui depreciação, aluguel e supervisão que continuam existindo do mesmo jeito, terceirizando ou não os uniformes.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9E2F3" w:val="clear"/>
            <w:tcMar>
              <w:top w:type="dxa" w:w="80"/>
              <w:left w:type="dxa" w:w="100"/>
              <w:bottom w:type="dxa" w:w="80"/>
              <w:right w:type="dxa" w:w="100"/>
            </w:tcMar>
          </w:tcPr>
          <w:p>
            <w:pPr>
              <w:jc w:val="center"/>
            </w:pPr>
            <w:r>
              <w:rPr>
                <w:b/>
                <w:bCs/>
                <w:i w:val="false"/>
                <w:iCs w:val="false"/>
              </w:rPr>
              <w:t xml:space="preserve">Análise correta — custo evitável</w:t>
            </w:r>
          </w:p>
        </w:tc>
        <w:tc>
          <w:tcPr>
            <w:tcW w:type="dxa" w:w="4680"/>
            <w:shd w:fill="D9E2F3" w:val="clear"/>
            <w:tcMar>
              <w:top w:type="dxa" w:w="80"/>
              <w:left w:type="dxa" w:w="100"/>
              <w:bottom w:type="dxa" w:w="80"/>
              <w:right w:type="dxa" w:w="100"/>
            </w:tcMar>
          </w:tcPr>
          <w:p>
            <w:pPr>
              <w:jc w:val="center"/>
            </w:pPr>
            <w:r>
              <w:rPr>
                <w:b/>
                <w:bCs/>
                <w:i w:val="false"/>
                <w:iCs w:val="false"/>
              </w:rPr>
              <w:t xml:space="preserve">Valor ($)</w:t>
            </w:r>
          </w:p>
        </w:tc>
      </w:tr>
      <w:tr>
        <w:tc>
          <w:tcPr>
            <w:tcW w:type="dxa" w:w="4680"/>
            <w:tcMar>
              <w:top w:type="dxa" w:w="80"/>
              <w:left w:type="dxa" w:w="100"/>
              <w:bottom w:type="dxa" w:w="80"/>
              <w:right w:type="dxa" w:w="100"/>
            </w:tcMar>
          </w:tcPr>
          <w:p>
            <w:pPr>
              <w:jc w:val="left"/>
            </w:pPr>
            <w:r>
              <w:rPr>
                <w:b w:val="false"/>
                <w:bCs w:val="false"/>
                <w:i w:val="false"/>
                <w:iCs w:val="false"/>
              </w:rPr>
              <w:t xml:space="preserve">MOD — Uniformes</w:t>
            </w:r>
          </w:p>
        </w:tc>
        <w:tc>
          <w:tcPr>
            <w:tcW w:type="dxa" w:w="4680"/>
            <w:tcMar>
              <w:top w:type="dxa" w:w="80"/>
              <w:left w:type="dxa" w:w="100"/>
              <w:bottom w:type="dxa" w:w="80"/>
              <w:right w:type="dxa" w:w="100"/>
            </w:tcMar>
          </w:tcPr>
          <w:p>
            <w:pPr>
              <w:jc w:val="right"/>
            </w:pPr>
            <w:r>
              <w:rPr>
                <w:b w:val="false"/>
                <w:bCs w:val="false"/>
                <w:i w:val="false"/>
                <w:iCs w:val="false"/>
              </w:rPr>
              <w:t xml:space="preserve">100.000,00</w:t>
            </w:r>
          </w:p>
        </w:tc>
      </w:tr>
      <w:tr>
        <w:tc>
          <w:tcPr>
            <w:tcW w:type="dxa" w:w="4680"/>
            <w:tcMar>
              <w:top w:type="dxa" w:w="80"/>
              <w:left w:type="dxa" w:w="100"/>
              <w:bottom w:type="dxa" w:w="80"/>
              <w:right w:type="dxa" w:w="100"/>
            </w:tcMar>
          </w:tcPr>
          <w:p>
            <w:pPr>
              <w:jc w:val="left"/>
            </w:pPr>
            <w:r>
              <w:rPr>
                <w:b w:val="false"/>
                <w:bCs w:val="false"/>
                <w:i w:val="false"/>
                <w:iCs w:val="false"/>
              </w:rPr>
              <w:t xml:space="preserve">Tecido e aviamentos — Uniformes</w:t>
            </w:r>
          </w:p>
        </w:tc>
        <w:tc>
          <w:tcPr>
            <w:tcW w:type="dxa" w:w="4680"/>
            <w:tcMar>
              <w:top w:type="dxa" w:w="80"/>
              <w:left w:type="dxa" w:w="100"/>
              <w:bottom w:type="dxa" w:w="80"/>
              <w:right w:type="dxa" w:w="100"/>
            </w:tcMar>
          </w:tcPr>
          <w:p>
            <w:pPr>
              <w:jc w:val="right"/>
            </w:pPr>
            <w:r>
              <w:rPr>
                <w:b w:val="false"/>
                <w:bCs w:val="false"/>
                <w:i w:val="false"/>
                <w:iCs w:val="false"/>
              </w:rPr>
              <w:t xml:space="preserve">180.000,00</w:t>
            </w:r>
          </w:p>
        </w:tc>
      </w:tr>
      <w:tr>
        <w:tc>
          <w:tcPr>
            <w:tcW w:type="dxa" w:w="4680"/>
            <w:tcMar>
              <w:top w:type="dxa" w:w="80"/>
              <w:left w:type="dxa" w:w="100"/>
              <w:bottom w:type="dxa" w:w="80"/>
              <w:right w:type="dxa" w:w="100"/>
            </w:tcMar>
          </w:tcPr>
          <w:p>
            <w:pPr>
              <w:jc w:val="left"/>
            </w:pPr>
            <w:r>
              <w:rPr>
                <w:b w:val="false"/>
                <w:bCs w:val="false"/>
                <w:i w:val="false"/>
                <w:iCs w:val="false"/>
              </w:rPr>
              <w:t xml:space="preserve">Total evitável se terceirizar os uniformes</w:t>
            </w:r>
          </w:p>
        </w:tc>
        <w:tc>
          <w:tcPr>
            <w:tcW w:type="dxa" w:w="4680"/>
            <w:tcMar>
              <w:top w:type="dxa" w:w="80"/>
              <w:left w:type="dxa" w:w="100"/>
              <w:bottom w:type="dxa" w:w="80"/>
              <w:right w:type="dxa" w:w="100"/>
            </w:tcMar>
          </w:tcPr>
          <w:p>
            <w:pPr>
              <w:jc w:val="right"/>
            </w:pPr>
            <w:r>
              <w:rPr>
                <w:b w:val="false"/>
                <w:bCs w:val="false"/>
                <w:i w:val="false"/>
                <w:iCs w:val="false"/>
              </w:rPr>
              <w:t xml:space="preserve">280.000,00</w:t>
            </w:r>
          </w:p>
        </w:tc>
      </w:tr>
    </w:tbl>
    <w:p>
      <w:pPr>
        <w:spacing w:after="120"/>
      </w:pPr>
      <w:r>
        <w:rPr>
          <w:b/>
          <w:bCs/>
        </w:rPr>
        <w:t xml:space="preserve">Recomendação: rejeitar a proposta de terceirização nesses termos</w:t>
      </w:r>
      <w:r>
        <w:t xml:space="preserve"> — a depreciação das máquinas, o aluguel do galpão e a supervisão NÃO são evitáveis (esses recursos seguem em uso para camisas e calças jeans), e as despesas variáveis de venda também não são evitáveis. O único custo que deixaria de existir é o custo evitável de produção ($ 280.000,00). Como $ 280.000,00 &lt; $ 375.000,00, terceirizar AUMENTARIA o custo em $ 95.000,00/ano — a proposta não deveria ser aceita, independentemente de qual critério de rateio o custeio por absorção usasse.</w:t>
      </w:r>
    </w:p>
    <w:p>
      <w:pPr>
        <w:pStyle w:val="Heading1"/>
        <w:spacing w:after="150" w:before="300"/>
      </w:pPr>
      <w:r>
        <w:t xml:space="preserve">f) Quando o custeio por absorção é exigido/adequado — e por que não serve para a decisão da letra e</w:t>
      </w:r>
    </w:p>
    <w:p>
      <w:pPr>
        <w:spacing w:after="120"/>
      </w:pPr>
      <w:r>
        <w:rPr>
          <w:b/>
          <w:bCs/>
        </w:rPr>
        <w:t xml:space="preserve">Uso adequado do custeio por absorção</w:t>
      </w:r>
    </w:p>
    <w:p>
      <w:pPr>
        <w:spacing w:after="120"/>
      </w:pPr>
      <w:r>
        <w:t xml:space="preserve">É o método exigido pela legislação societária e fiscal brasileira para demonstrações contábeis publicadas e para apuração do lucro real (Imposto de Renda), e também é o método usado para avaliar estoques de produtos em elaboração e acabados no balanço patrimonial, pois inclui todos os custos necessários para colocar o produto em condição de venda — inclusive os custos indiretos fixos de produção.</w:t>
      </w:r>
    </w:p>
    <w:p>
      <w:pPr>
        <w:spacing w:after="120"/>
      </w:pPr>
      <w:r>
        <w:rPr>
          <w:b/>
          <w:bCs/>
        </w:rPr>
        <w:t xml:space="preserve">Por que não deve orientar a decisão de terceirização</w:t>
      </w:r>
    </w:p>
    <w:p>
      <w:pPr>
        <w:spacing w:after="120"/>
      </w:pPr>
      <w:r>
        <w:t xml:space="preserve">O custo de produção por absorção mistura custos que deixariam de existir (evitáveis, como MOD e tecido dos uniformes) com custos que continuariam existindo de qualquer forma (não evitáveis, como a depreciação das máquinas usadas por outras peças). Ao ratear o custo indireto sobre os uniformes, o custeio por absorção "empurra" para a peça uma fatia de custo que não desaparece se a confecção parar de produzi-la — e essa fatia muda de tamanho conforme o critério de rateio escolhido (letra d), tornando o indicador instável e, como visto na letra e, capaz até de inverter a decisão correta. Decisões de terceirizar, aceitar pedidos especiais ou descontinuar produtos devem sempre comparar a proposta com os custos realmente evitáveis, nunca com o custo de produção por absorção.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2026-09-24T16:30:55.968Z</dcterms:created>
  <dcterms:modified xsi:type="dcterms:W3CDTF">2026-09-24T16:30:55.982Z</dcterms:modified>
</cp:coreProperties>
</file>

<file path=docProps/custom.xml><?xml version="1.0" encoding="utf-8"?>
<Properties xmlns="http://schemas.openxmlformats.org/officeDocument/2006/custom-properties" xmlns:vt="http://schemas.openxmlformats.org/officeDocument/2006/docPropsVTypes"/>
</file>