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Móveis Portal da Amazônia — Formação de Preços — Gabarito Comentado</w:t>
      </w:r>
    </w:p>
    <w:p>
      <w:r>
        <w:rPr>
          <w:i/>
          <w:color w:val="555555"/>
        </w:rPr>
        <w:t>Resolução passo a passo — todos os valores calculados a partir dos dados do enunciado</w:t>
      </w:r>
    </w:p>
    <w:p>
      <w:pPr>
        <w:pStyle w:val="Heading1"/>
      </w:pPr>
      <w:r>
        <w:t>a) Custo de produção por absorção — rateio por volume</w:t>
      </w:r>
    </w:p>
    <w:p>
      <w:r>
        <w:t>Custos indiretos a ratear: $ 440.000,00. Volume total: 22.000 unidades. Custo indireto por unidade = 440.000,00 ÷ 22.000 = $ 20,0000.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Matéria-prima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MOD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Custo direto unit.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Indireto rateado unit. ($)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Custo unit. absorção ($)</w:t>
            </w:r>
          </w:p>
        </w:tc>
      </w:tr>
      <w:tr>
        <w:tc>
          <w:tcPr>
            <w:tcW w:type="dxa" w:w="1440"/>
          </w:tcPr>
          <w:p>
            <w:r>
              <w:t>Mesas</w:t>
            </w:r>
          </w:p>
        </w:tc>
        <w:tc>
          <w:tcPr>
            <w:tcW w:type="dxa" w:w="1440"/>
          </w:tcPr>
          <w:p>
            <w:r>
              <w:t>180,00</w:t>
            </w:r>
          </w:p>
        </w:tc>
        <w:tc>
          <w:tcPr>
            <w:tcW w:type="dxa" w:w="1440"/>
          </w:tcPr>
          <w:p>
            <w:r>
              <w:t>60,00</w:t>
            </w:r>
          </w:p>
        </w:tc>
        <w:tc>
          <w:tcPr>
            <w:tcW w:type="dxa" w:w="1440"/>
          </w:tcPr>
          <w:p>
            <w:r>
              <w:t>240,0000</w:t>
            </w:r>
          </w:p>
        </w:tc>
        <w:tc>
          <w:tcPr>
            <w:tcW w:type="dxa" w:w="1440"/>
          </w:tcPr>
          <w:p>
            <w:r>
              <w:t>20,0000</w:t>
            </w:r>
          </w:p>
        </w:tc>
        <w:tc>
          <w:tcPr>
            <w:tcW w:type="dxa" w:w="1440"/>
          </w:tcPr>
          <w:p>
            <w:r>
              <w:t>260,0000</w:t>
            </w:r>
          </w:p>
        </w:tc>
      </w:tr>
      <w:tr>
        <w:tc>
          <w:tcPr>
            <w:tcW w:type="dxa" w:w="1440"/>
          </w:tcPr>
          <w:p>
            <w:r>
              <w:t>Cadeiras</w:t>
            </w:r>
          </w:p>
        </w:tc>
        <w:tc>
          <w:tcPr>
            <w:tcW w:type="dxa" w:w="1440"/>
          </w:tcPr>
          <w:p>
            <w:r>
              <w:t>45,00</w:t>
            </w:r>
          </w:p>
        </w:tc>
        <w:tc>
          <w:tcPr>
            <w:tcW w:type="dxa" w:w="1440"/>
          </w:tcPr>
          <w:p>
            <w:r>
              <w:t>15,00</w:t>
            </w:r>
          </w:p>
        </w:tc>
        <w:tc>
          <w:tcPr>
            <w:tcW w:type="dxa" w:w="1440"/>
          </w:tcPr>
          <w:p>
            <w:r>
              <w:t>60,0000</w:t>
            </w:r>
          </w:p>
        </w:tc>
        <w:tc>
          <w:tcPr>
            <w:tcW w:type="dxa" w:w="1440"/>
          </w:tcPr>
          <w:p>
            <w:r>
              <w:t>20,0000</w:t>
            </w:r>
          </w:p>
        </w:tc>
        <w:tc>
          <w:tcPr>
            <w:tcW w:type="dxa" w:w="1440"/>
          </w:tcPr>
          <w:p>
            <w:r>
              <w:t>80,0000</w:t>
            </w:r>
          </w:p>
        </w:tc>
      </w:tr>
      <w:tr>
        <w:tc>
          <w:tcPr>
            <w:tcW w:type="dxa" w:w="1440"/>
          </w:tcPr>
          <w:p>
            <w:r>
              <w:t>Armários</w:t>
            </w:r>
          </w:p>
        </w:tc>
        <w:tc>
          <w:tcPr>
            <w:tcW w:type="dxa" w:w="1440"/>
          </w:tcPr>
          <w:p>
            <w:r>
              <w:t>420,00</w:t>
            </w:r>
          </w:p>
        </w:tc>
        <w:tc>
          <w:tcPr>
            <w:tcW w:type="dxa" w:w="1440"/>
          </w:tcPr>
          <w:p>
            <w:r>
              <w:t>150,00</w:t>
            </w:r>
          </w:p>
        </w:tc>
        <w:tc>
          <w:tcPr>
            <w:tcW w:type="dxa" w:w="1440"/>
          </w:tcPr>
          <w:p>
            <w:r>
              <w:t>570,0000</w:t>
            </w:r>
          </w:p>
        </w:tc>
        <w:tc>
          <w:tcPr>
            <w:tcW w:type="dxa" w:w="1440"/>
          </w:tcPr>
          <w:p>
            <w:r>
              <w:t>20,0000</w:t>
            </w:r>
          </w:p>
        </w:tc>
        <w:tc>
          <w:tcPr>
            <w:tcW w:type="dxa" w:w="1440"/>
          </w:tcPr>
          <w:p>
            <w:r>
              <w:t>590,0000</w:t>
            </w:r>
          </w:p>
        </w:tc>
      </w:tr>
    </w:tbl>
    <w:p/>
    <w:p>
      <w:r>
        <w:rPr>
          <w:b/>
        </w:rPr>
        <w:t>Resposta a):</w:t>
      </w:r>
      <w:r>
        <w:t xml:space="preserve"> o custo por absorção soma, em cada unidade, o custo direto (matéria-prima e MOD) e a parcela de custo indireto rateada pelo volume. Ele é o ponto de partida do preço formado pelo custo.</w:t>
      </w:r>
    </w:p>
    <w:p>
      <w:pPr>
        <w:pStyle w:val="Heading1"/>
      </w:pPr>
      <w:r>
        <w:t>b) Markup divisor e markup multiplicador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Comissão + despesas administrativas + lucro</w:t>
            </w:r>
          </w:p>
        </w:tc>
        <w:tc>
          <w:tcPr>
            <w:tcW w:type="dxa" w:w="4320"/>
          </w:tcPr>
          <w:p>
            <w:r>
              <w:t>5,0% + 8,0% + 12,0% = 25,0%</w:t>
            </w:r>
          </w:p>
        </w:tc>
      </w:tr>
      <w:tr>
        <w:tc>
          <w:tcPr>
            <w:tcW w:type="dxa" w:w="4320"/>
          </w:tcPr>
          <w:p>
            <w:r>
              <w:t>Markup divisor = 1 − soma dos percentuais</w:t>
            </w:r>
          </w:p>
        </w:tc>
        <w:tc>
          <w:tcPr>
            <w:tcW w:type="dxa" w:w="4320"/>
          </w:tcPr>
          <w:p>
            <w:r>
              <w:t>0,7500</w:t>
            </w:r>
          </w:p>
        </w:tc>
      </w:tr>
      <w:tr>
        <w:tc>
          <w:tcPr>
            <w:tcW w:type="dxa" w:w="4320"/>
          </w:tcPr>
          <w:p>
            <w:r>
              <w:t>Markup multiplicador = 1 ÷ markup divisor</w:t>
            </w:r>
          </w:p>
        </w:tc>
        <w:tc>
          <w:tcPr>
            <w:tcW w:type="dxa" w:w="4320"/>
          </w:tcPr>
          <w:p>
            <w:r>
              <w:t>1,3333</w:t>
            </w:r>
          </w:p>
        </w:tc>
      </w:tr>
    </w:tbl>
    <w:p/>
    <w:p>
      <w:r>
        <w:rPr>
          <w:b/>
        </w:rPr>
        <w:t>Resposta b):</w:t>
      </w:r>
      <w:r>
        <w:t xml:space="preserve"> se o gerente multiplicasse o custo por 1,25, o preço ficaria menor que o necessário. Como comissão e despesas administrativas incidem sobre o preço, sobraria de lucro apenas 1 − 13,0% − 1 ÷ 1,25 = 7,00% do preço, e não os 12,0% desejados. Percentuais definidos sobre o preço exigem o markup divisor (dividir o custo por 1 − soma).</w:t>
      </w:r>
    </w:p>
    <w:p>
      <w:pPr>
        <w:pStyle w:val="Heading1"/>
      </w:pPr>
      <w:r>
        <w:t>c) Preço sugerido × preço de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Custo absorção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Frete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Base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sugerido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de mercado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Situação</w:t>
            </w:r>
          </w:p>
        </w:tc>
      </w:tr>
      <w:tr>
        <w:tc>
          <w:tcPr>
            <w:tcW w:type="dxa" w:w="1234"/>
          </w:tcPr>
          <w:p>
            <w:r>
              <w:t>Mesas</w:t>
            </w:r>
          </w:p>
        </w:tc>
        <w:tc>
          <w:tcPr>
            <w:tcW w:type="dxa" w:w="1234"/>
          </w:tcPr>
          <w:p>
            <w:r>
              <w:t>260,0000</w:t>
            </w:r>
          </w:p>
        </w:tc>
        <w:tc>
          <w:tcPr>
            <w:tcW w:type="dxa" w:w="1234"/>
          </w:tcPr>
          <w:p>
            <w:r>
              <w:t>12,00</w:t>
            </w:r>
          </w:p>
        </w:tc>
        <w:tc>
          <w:tcPr>
            <w:tcW w:type="dxa" w:w="1234"/>
          </w:tcPr>
          <w:p>
            <w:r>
              <w:t>272,0000</w:t>
            </w:r>
          </w:p>
        </w:tc>
        <w:tc>
          <w:tcPr>
            <w:tcW w:type="dxa" w:w="1234"/>
          </w:tcPr>
          <w:p>
            <w:r>
              <w:t>362,6667</w:t>
            </w:r>
          </w:p>
        </w:tc>
        <w:tc>
          <w:tcPr>
            <w:tcW w:type="dxa" w:w="1234"/>
          </w:tcPr>
          <w:p>
            <w:r>
              <w:t>390,00</w:t>
            </w:r>
          </w:p>
        </w:tc>
        <w:tc>
          <w:tcPr>
            <w:tcW w:type="dxa" w:w="1234"/>
          </w:tcPr>
          <w:p>
            <w:r>
              <w:t>Mercado remunera o lucro</w:t>
            </w:r>
          </w:p>
        </w:tc>
      </w:tr>
      <w:tr>
        <w:tc>
          <w:tcPr>
            <w:tcW w:type="dxa" w:w="1234"/>
          </w:tcPr>
          <w:p>
            <w:r>
              <w:t>Cadeiras</w:t>
            </w:r>
          </w:p>
        </w:tc>
        <w:tc>
          <w:tcPr>
            <w:tcW w:type="dxa" w:w="1234"/>
          </w:tcPr>
          <w:p>
            <w:r>
              <w:t>80,0000</w:t>
            </w:r>
          </w:p>
        </w:tc>
        <w:tc>
          <w:tcPr>
            <w:tcW w:type="dxa" w:w="1234"/>
          </w:tcPr>
          <w:p>
            <w:r>
              <w:t>3,00</w:t>
            </w:r>
          </w:p>
        </w:tc>
        <w:tc>
          <w:tcPr>
            <w:tcW w:type="dxa" w:w="1234"/>
          </w:tcPr>
          <w:p>
            <w:r>
              <w:t>83,0000</w:t>
            </w:r>
          </w:p>
        </w:tc>
        <w:tc>
          <w:tcPr>
            <w:tcW w:type="dxa" w:w="1234"/>
          </w:tcPr>
          <w:p>
            <w:r>
              <w:t>110,6667</w:t>
            </w:r>
          </w:p>
        </w:tc>
        <w:tc>
          <w:tcPr>
            <w:tcW w:type="dxa" w:w="1234"/>
          </w:tcPr>
          <w:p>
            <w:r>
              <w:t>105,00</w:t>
            </w:r>
          </w:p>
        </w:tc>
        <w:tc>
          <w:tcPr>
            <w:tcW w:type="dxa" w:w="1234"/>
          </w:tcPr>
          <w:p>
            <w:r>
              <w:t>Mercado abaixo do sugerido</w:t>
            </w:r>
          </w:p>
        </w:tc>
      </w:tr>
      <w:tr>
        <w:tc>
          <w:tcPr>
            <w:tcW w:type="dxa" w:w="1234"/>
          </w:tcPr>
          <w:p>
            <w:r>
              <w:t>Armários</w:t>
            </w:r>
          </w:p>
        </w:tc>
        <w:tc>
          <w:tcPr>
            <w:tcW w:type="dxa" w:w="1234"/>
          </w:tcPr>
          <w:p>
            <w:r>
              <w:t>590,0000</w:t>
            </w:r>
          </w:p>
        </w:tc>
        <w:tc>
          <w:tcPr>
            <w:tcW w:type="dxa" w:w="1234"/>
          </w:tcPr>
          <w:p>
            <w:r>
              <w:t>25,00</w:t>
            </w:r>
          </w:p>
        </w:tc>
        <w:tc>
          <w:tcPr>
            <w:tcW w:type="dxa" w:w="1234"/>
          </w:tcPr>
          <w:p>
            <w:r>
              <w:t>615,0000</w:t>
            </w:r>
          </w:p>
        </w:tc>
        <w:tc>
          <w:tcPr>
            <w:tcW w:type="dxa" w:w="1234"/>
          </w:tcPr>
          <w:p>
            <w:r>
              <w:t>820,0000</w:t>
            </w:r>
          </w:p>
        </w:tc>
        <w:tc>
          <w:tcPr>
            <w:tcW w:type="dxa" w:w="1234"/>
          </w:tcPr>
          <w:p>
            <w:r>
              <w:t>890,00</w:t>
            </w:r>
          </w:p>
        </w:tc>
        <w:tc>
          <w:tcPr>
            <w:tcW w:type="dxa" w:w="1234"/>
          </w:tcPr>
          <w:p>
            <w:r>
              <w:t>Mercado remunera o lucro</w:t>
            </w:r>
          </w:p>
        </w:tc>
      </w:tr>
    </w:tbl>
    <w:p/>
    <w:p>
      <w:r>
        <w:rPr>
          <w:b/>
        </w:rPr>
        <w:t>Resposta c):</w:t>
      </w:r>
      <w:r>
        <w:t xml:space="preserve"> preço sugerido = (custo por absorção + frete) ÷ 0,75. O mercado paga menos que o preço sugerido em: Cadeiras. Nesse produto, vender ao preço de mercado não gera o lucro desejado de 12,0% — o que não significa, por si só, prejuízo: significa que a margem fica abaixo da meta.</w:t>
      </w:r>
    </w:p>
    <w:p>
      <w:pPr>
        <w:pStyle w:val="Heading1"/>
      </w:pPr>
      <w:r>
        <w:t>d) Pedido especial — 1.000 un. de cadeiras a $ 72,00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Comparação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($/un.)</w:t>
            </w:r>
          </w:p>
        </w:tc>
      </w:tr>
      <w:tr>
        <w:tc>
          <w:tcPr>
            <w:tcW w:type="dxa" w:w="4320"/>
          </w:tcPr>
          <w:p>
            <w:r>
              <w:t>Preço oferecido</w:t>
            </w:r>
          </w:p>
        </w:tc>
        <w:tc>
          <w:tcPr>
            <w:tcW w:type="dxa" w:w="4320"/>
          </w:tcPr>
          <w:p>
            <w:r>
              <w:t>72,00</w:t>
            </w:r>
          </w:p>
        </w:tc>
      </w:tr>
      <w:tr>
        <w:tc>
          <w:tcPr>
            <w:tcW w:type="dxa" w:w="4320"/>
          </w:tcPr>
          <w:p>
            <w:r>
              <w:t>Custo por absorção + frete (comparação do analista — incorreta)</w:t>
            </w:r>
          </w:p>
        </w:tc>
        <w:tc>
          <w:tcPr>
            <w:tcW w:type="dxa" w:w="4320"/>
          </w:tcPr>
          <w:p>
            <w:r>
              <w:t>83,0000</w:t>
            </w:r>
          </w:p>
        </w:tc>
      </w:tr>
      <w:tr>
        <w:tc>
          <w:tcPr>
            <w:tcW w:type="dxa" w:w="4320"/>
          </w:tcPr>
          <w:p>
            <w:r>
              <w:t>Custo variável de produção (matéria-prima + MOD)</w:t>
            </w:r>
          </w:p>
        </w:tc>
        <w:tc>
          <w:tcPr>
            <w:tcW w:type="dxa" w:w="4320"/>
          </w:tcPr>
          <w:p>
            <w:r>
              <w:t>60,0000</w:t>
            </w:r>
          </w:p>
        </w:tc>
      </w:tr>
      <w:tr>
        <w:tc>
          <w:tcPr>
            <w:tcW w:type="dxa" w:w="4320"/>
          </w:tcPr>
          <w:p>
            <w:r>
              <w:t>Despesa variável de venda (comissão 5,0% × 72,00 + frete 3,00)</w:t>
            </w:r>
          </w:p>
        </w:tc>
        <w:tc>
          <w:tcPr>
            <w:tcW w:type="dxa" w:w="4320"/>
          </w:tcPr>
          <w:p>
            <w:r>
              <w:t>6,6000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Margem de contribuição do lote por unidade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5,4000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Ganho total do lote (1.000 × 5,4000)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5.400,00</w:t>
            </w:r>
          </w:p>
        </w:tc>
      </w:tr>
    </w:tbl>
    <w:p/>
    <w:p>
      <w:r>
        <w:rPr>
          <w:b/>
        </w:rPr>
        <w:t>Resposta d):</w:t>
      </w:r>
      <w:r>
        <w:t xml:space="preserve"> a análise do analista está errada. Com capacidade ociosa, os custos indiretos já estão cobertos pela produção normal e não aumentam com o lote; só importam os gastos que variam com ele. A margem de contribuição é positiva ($ 5,4000/un.), e o lote aumenta o resultado em $ 5.400,00: a proposta deve ser aceita, desde que não substitua vendas ao preço normal nem estabeleça um precedente de preço com os clientes atuais.</w:t>
      </w:r>
    </w:p>
    <w:p>
      <w:r>
        <w:t>Preço mínimo do lote = (custo variável + frete) ÷ (1 − comissão) = (60,00 + 3,00) ÷ 0,95 = $ 66,3158/un.. Abaixo desse valor, cada unidade vendida reduz o resultado.</w:t>
      </w:r>
    </w:p>
    <w:p>
      <w:pPr>
        <w:pStyle w:val="Heading1"/>
      </w:pPr>
      <w:r>
        <w:t>e) Rateio alternativo pela MOD e novo preço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MOD total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% da MOD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Indireto rateado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Custo unit. absorção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Preço sugerido ($)</w:t>
            </w:r>
          </w:p>
        </w:tc>
        <w:tc>
          <w:tcPr>
            <w:tcW w:type="dxa" w:w="1234"/>
            <w:shd w:val="clear" w:fill="D9E2F3"/>
          </w:tcPr>
          <w:p>
            <w:r/>
            <w:r>
              <w:rPr>
                <w:b/>
              </w:rPr>
              <w:t>Mercado ($)</w:t>
            </w:r>
          </w:p>
        </w:tc>
      </w:tr>
      <w:tr>
        <w:tc>
          <w:tcPr>
            <w:tcW w:type="dxa" w:w="1234"/>
          </w:tcPr>
          <w:p>
            <w:r>
              <w:t>Mesas</w:t>
            </w:r>
          </w:p>
        </w:tc>
        <w:tc>
          <w:tcPr>
            <w:tcW w:type="dxa" w:w="1234"/>
          </w:tcPr>
          <w:p>
            <w:r>
              <w:t>240.000,00</w:t>
            </w:r>
          </w:p>
        </w:tc>
        <w:tc>
          <w:tcPr>
            <w:tcW w:type="dxa" w:w="1234"/>
          </w:tcPr>
          <w:p>
            <w:r>
              <w:t>30,8%</w:t>
            </w:r>
          </w:p>
        </w:tc>
        <w:tc>
          <w:tcPr>
            <w:tcW w:type="dxa" w:w="1234"/>
          </w:tcPr>
          <w:p>
            <w:r>
              <w:t>135.384,62</w:t>
            </w:r>
          </w:p>
        </w:tc>
        <w:tc>
          <w:tcPr>
            <w:tcW w:type="dxa" w:w="1234"/>
          </w:tcPr>
          <w:p>
            <w:r>
              <w:t>273,8462</w:t>
            </w:r>
          </w:p>
        </w:tc>
        <w:tc>
          <w:tcPr>
            <w:tcW w:type="dxa" w:w="1234"/>
          </w:tcPr>
          <w:p>
            <w:r>
              <w:t>381,1282</w:t>
            </w:r>
          </w:p>
        </w:tc>
        <w:tc>
          <w:tcPr>
            <w:tcW w:type="dxa" w:w="1234"/>
          </w:tcPr>
          <w:p>
            <w:r>
              <w:t>390,00</w:t>
            </w:r>
          </w:p>
        </w:tc>
      </w:tr>
      <w:tr>
        <w:tc>
          <w:tcPr>
            <w:tcW w:type="dxa" w:w="1234"/>
          </w:tcPr>
          <w:p>
            <w:r>
              <w:t>Cadeiras</w:t>
            </w:r>
          </w:p>
        </w:tc>
        <w:tc>
          <w:tcPr>
            <w:tcW w:type="dxa" w:w="1234"/>
          </w:tcPr>
          <w:p>
            <w:r>
              <w:t>240.000,00</w:t>
            </w:r>
          </w:p>
        </w:tc>
        <w:tc>
          <w:tcPr>
            <w:tcW w:type="dxa" w:w="1234"/>
          </w:tcPr>
          <w:p>
            <w:r>
              <w:t>30,8%</w:t>
            </w:r>
          </w:p>
        </w:tc>
        <w:tc>
          <w:tcPr>
            <w:tcW w:type="dxa" w:w="1234"/>
          </w:tcPr>
          <w:p>
            <w:r>
              <w:t>135.384,62</w:t>
            </w:r>
          </w:p>
        </w:tc>
        <w:tc>
          <w:tcPr>
            <w:tcW w:type="dxa" w:w="1234"/>
          </w:tcPr>
          <w:p>
            <w:r>
              <w:t>68,4615</w:t>
            </w:r>
          </w:p>
        </w:tc>
        <w:tc>
          <w:tcPr>
            <w:tcW w:type="dxa" w:w="1234"/>
          </w:tcPr>
          <w:p>
            <w:r>
              <w:t>95,2821</w:t>
            </w:r>
          </w:p>
        </w:tc>
        <w:tc>
          <w:tcPr>
            <w:tcW w:type="dxa" w:w="1234"/>
          </w:tcPr>
          <w:p>
            <w:r>
              <w:t>105,00</w:t>
            </w:r>
          </w:p>
        </w:tc>
      </w:tr>
      <w:tr>
        <w:tc>
          <w:tcPr>
            <w:tcW w:type="dxa" w:w="1234"/>
          </w:tcPr>
          <w:p>
            <w:r>
              <w:t>Armários</w:t>
            </w:r>
          </w:p>
        </w:tc>
        <w:tc>
          <w:tcPr>
            <w:tcW w:type="dxa" w:w="1234"/>
          </w:tcPr>
          <w:p>
            <w:r>
              <w:t>300.000,00</w:t>
            </w:r>
          </w:p>
        </w:tc>
        <w:tc>
          <w:tcPr>
            <w:tcW w:type="dxa" w:w="1234"/>
          </w:tcPr>
          <w:p>
            <w:r>
              <w:t>38,5%</w:t>
            </w:r>
          </w:p>
        </w:tc>
        <w:tc>
          <w:tcPr>
            <w:tcW w:type="dxa" w:w="1234"/>
          </w:tcPr>
          <w:p>
            <w:r>
              <w:t>169.230,77</w:t>
            </w:r>
          </w:p>
        </w:tc>
        <w:tc>
          <w:tcPr>
            <w:tcW w:type="dxa" w:w="1234"/>
          </w:tcPr>
          <w:p>
            <w:r>
              <w:t>654,6154</w:t>
            </w:r>
          </w:p>
        </w:tc>
        <w:tc>
          <w:tcPr>
            <w:tcW w:type="dxa" w:w="1234"/>
          </w:tcPr>
          <w:p>
            <w:r>
              <w:t>906,1538</w:t>
            </w:r>
          </w:p>
        </w:tc>
        <w:tc>
          <w:tcPr>
            <w:tcW w:type="dxa" w:w="1234"/>
          </w:tcPr>
          <w:p>
            <w:r>
              <w:t>890,00</w:t>
            </w:r>
          </w:p>
        </w:tc>
      </w:tr>
      <w:tr>
        <w:tc>
          <w:tcPr>
            <w:tcW w:type="dxa" w:w="1234"/>
            <w:shd w:val="clear" w:fill="EEF2FB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780.000,00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100,0%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  <w:t>440.000,00</w:t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  <w:tc>
          <w:tcPr>
            <w:tcW w:type="dxa" w:w="1234"/>
            <w:shd w:val="clear" w:fill="EEF2FB"/>
          </w:tcPr>
          <w:p>
            <w:r>
              <w:rPr>
                <w:b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Preço sugerido — rateio volume ($)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Preço sugerido — rateio MOD ($)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Diferença ($)</w:t>
            </w:r>
          </w:p>
        </w:tc>
      </w:tr>
      <w:tr>
        <w:tc>
          <w:tcPr>
            <w:tcW w:type="dxa" w:w="2160"/>
          </w:tcPr>
          <w:p>
            <w:r>
              <w:t>Mesas</w:t>
            </w:r>
          </w:p>
        </w:tc>
        <w:tc>
          <w:tcPr>
            <w:tcW w:type="dxa" w:w="2160"/>
          </w:tcPr>
          <w:p>
            <w:r>
              <w:t>362,6667</w:t>
            </w:r>
          </w:p>
        </w:tc>
        <w:tc>
          <w:tcPr>
            <w:tcW w:type="dxa" w:w="2160"/>
          </w:tcPr>
          <w:p>
            <w:r>
              <w:t>381,1282</w:t>
            </w:r>
          </w:p>
        </w:tc>
        <w:tc>
          <w:tcPr>
            <w:tcW w:type="dxa" w:w="2160"/>
          </w:tcPr>
          <w:p>
            <w:r>
              <w:t>18,4615</w:t>
            </w:r>
          </w:p>
        </w:tc>
      </w:tr>
      <w:tr>
        <w:tc>
          <w:tcPr>
            <w:tcW w:type="dxa" w:w="2160"/>
          </w:tcPr>
          <w:p>
            <w:r>
              <w:t>Cadeiras</w:t>
            </w:r>
          </w:p>
        </w:tc>
        <w:tc>
          <w:tcPr>
            <w:tcW w:type="dxa" w:w="2160"/>
          </w:tcPr>
          <w:p>
            <w:r>
              <w:t>110,6667</w:t>
            </w:r>
          </w:p>
        </w:tc>
        <w:tc>
          <w:tcPr>
            <w:tcW w:type="dxa" w:w="2160"/>
          </w:tcPr>
          <w:p>
            <w:r>
              <w:t>95,2821</w:t>
            </w:r>
          </w:p>
        </w:tc>
        <w:tc>
          <w:tcPr>
            <w:tcW w:type="dxa" w:w="2160"/>
          </w:tcPr>
          <w:p>
            <w:r>
              <w:t>-15,3846</w:t>
            </w:r>
          </w:p>
        </w:tc>
      </w:tr>
      <w:tr>
        <w:tc>
          <w:tcPr>
            <w:tcW w:type="dxa" w:w="2160"/>
          </w:tcPr>
          <w:p>
            <w:r>
              <w:t>Armários</w:t>
            </w:r>
          </w:p>
        </w:tc>
        <w:tc>
          <w:tcPr>
            <w:tcW w:type="dxa" w:w="2160"/>
          </w:tcPr>
          <w:p>
            <w:r>
              <w:t>820,0000</w:t>
            </w:r>
          </w:p>
        </w:tc>
        <w:tc>
          <w:tcPr>
            <w:tcW w:type="dxa" w:w="2160"/>
          </w:tcPr>
          <w:p>
            <w:r>
              <w:t>906,1538</w:t>
            </w:r>
          </w:p>
        </w:tc>
        <w:tc>
          <w:tcPr>
            <w:tcW w:type="dxa" w:w="2160"/>
          </w:tcPr>
          <w:p>
            <w:r>
              <w:t>86,1538</w:t>
            </w:r>
          </w:p>
        </w:tc>
      </w:tr>
    </w:tbl>
    <w:p/>
    <w:p>
      <w:r>
        <w:rPr>
          <w:b/>
        </w:rPr>
        <w:t>Resposta e):</w:t>
      </w:r>
      <w:r>
        <w:t xml:space="preserve"> o total de custos indiretos é o mesmo nos dois critérios, mas a parcela de cada produto muda — e com ela o preço sugerido. Aqui a troca de critério muda a conclusão. Cadeiras: pelo rateio por volume, o mercado não remunera o lucro desejado; pelo rateio da MOD, remunera. Armários: pelo rateio por volume, o mercado remunera o lucro desejado; pelo rateio da MOD, não remunera. Um preço formado pelo custo pleno herda a arbitrariedade do critério de rateio; por isso ele serve de referência de longo prazo, e não como verdade absoluta sobre quanto cada produto “custa”.</w:t>
      </w:r>
    </w:p>
    <w:p>
      <w:pPr>
        <w:pStyle w:val="Heading1"/>
      </w:pPr>
      <w:r>
        <w:t>f) Custo-meta de cadeiras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Cálculo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($/un.)</w:t>
            </w:r>
          </w:p>
        </w:tc>
      </w:tr>
      <w:tr>
        <w:tc>
          <w:tcPr>
            <w:tcW w:type="dxa" w:w="4320"/>
          </w:tcPr>
          <w:p>
            <w:r>
              <w:t>Preço de mercado</w:t>
            </w:r>
          </w:p>
        </w:tc>
        <w:tc>
          <w:tcPr>
            <w:tcW w:type="dxa" w:w="4320"/>
          </w:tcPr>
          <w:p>
            <w:r>
              <w:t>105,00</w:t>
            </w:r>
          </w:p>
        </w:tc>
      </w:tr>
      <w:tr>
        <w:tc>
          <w:tcPr>
            <w:tcW w:type="dxa" w:w="4320"/>
          </w:tcPr>
          <w:p>
            <w:r>
              <w:t>(×) Markup divisor (0,75) = parcela que sobra após comissão, despesas adm. e lucro</w:t>
            </w:r>
          </w:p>
        </w:tc>
        <w:tc>
          <w:tcPr>
            <w:tcW w:type="dxa" w:w="4320"/>
          </w:tcPr>
          <w:p>
            <w:r>
              <w:t>78,7500</w:t>
            </w:r>
          </w:p>
        </w:tc>
      </w:tr>
      <w:tr>
        <w:tc>
          <w:tcPr>
            <w:tcW w:type="dxa" w:w="4320"/>
          </w:tcPr>
          <w:p>
            <w:r>
              <w:t>(−) Frete por unidade</w:t>
            </w:r>
          </w:p>
        </w:tc>
        <w:tc>
          <w:tcPr>
            <w:tcW w:type="dxa" w:w="4320"/>
          </w:tcPr>
          <w:p>
            <w:r>
              <w:t>3,00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(=) Custo-meta de produção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75,7500</w:t>
            </w:r>
          </w:p>
        </w:tc>
      </w:tr>
      <w:tr>
        <w:tc>
          <w:tcPr>
            <w:tcW w:type="dxa" w:w="4320"/>
          </w:tcPr>
          <w:p>
            <w:r>
              <w:t>Custo atual por absorção (rateio por volume)</w:t>
            </w:r>
          </w:p>
        </w:tc>
        <w:tc>
          <w:tcPr>
            <w:tcW w:type="dxa" w:w="4320"/>
          </w:tcPr>
          <w:p>
            <w:r>
              <w:t>80,0000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Redução necessária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4,2500</w:t>
            </w:r>
          </w:p>
        </w:tc>
      </w:tr>
    </w:tbl>
    <w:p/>
    <w:p>
      <w:r>
        <w:rPr>
          <w:b/>
        </w:rPr>
        <w:t>Resposta f):</w:t>
      </w:r>
      <w:r>
        <w:t xml:space="preserve"> para obter 12,0% de lucro vendendo a $ 105,00, o custo de produção de cadeiras não pode passar de $ 75,7500/un.; o custo atual precisa cair $ 4,2500 (5,3%). Esse é o raciocínio do custo-meta (target costing): o mercado define o preço, e a empresa trabalha para trazer o custo até ele.</w:t>
      </w:r>
    </w:p>
    <w:p>
      <w:r>
        <w:rPr>
          <w:b/>
        </w:rPr>
        <w:t>Recomendação:</w:t>
      </w:r>
      <w:r>
        <w:t xml:space="preserve"> formar o preço a partir do custo (markup) é adequado quando a empresa tem algum poder de definir preço — produtos diferenciados, sob encomenda ou sem referência clara de mercado. Em mercados competitivos, com preços de referência (commodities, produtos padronizados), o preço é dado pelo mercado: o markup passa a ser um teste de rentabilidade, e a gestão deve atuar sobre o custo (custo-meta), sobre o mix de produtos e, no curto prazo, usar a margem de contribuição e o preço mínimo para decidir pedidos especiais.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