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Panificadora Trigo Dourado — Custos e Margem de Contribuição — Gabarito Comentado</w:t>
      </w:r>
    </w:p>
    <w:p>
      <w:pPr>
        <w:spacing w:after="300"/>
      </w:pPr>
      <w:r>
        <w:rPr>
          <w:i/>
          <w:iCs/>
          <w:color w:val="555555"/>
        </w:rPr>
        <w:t xml:space="preserve">Resolução passo a passo — todos os valores calculados a partir dos dados do enunciado</w:t>
      </w:r>
    </w:p>
    <w:p>
      <w:pPr>
        <w:pStyle w:val="Heading1"/>
        <w:spacing w:after="150" w:before="300"/>
      </w:pPr>
      <w:r>
        <w:t xml:space="preserve">Passo 0 — Classificação de cada gasto (fixo × variável)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Classificação</w:t>
            </w:r>
          </w:p>
        </w:tc>
      </w:tr>
      <w:tr>
        <w:tc>
          <w:tcPr>
            <w:tcW w:type="dxa" w:w="4680"/>
            <w:tcMar>
              <w:top w:type="dxa" w:w="80"/>
              <w:left w:type="dxa" w:w="100"/>
              <w:bottom w:type="dxa" w:w="80"/>
              <w:right w:type="dxa" w:w="100"/>
            </w:tcMar>
          </w:tcPr>
          <w:p>
            <w:pPr>
              <w:jc w:val="left"/>
            </w:pPr>
            <w:r>
              <w:rPr>
                <w:b w:val="false"/>
                <w:bCs w:val="false"/>
                <w:i w:val="false"/>
                <w:iCs w:val="false"/>
              </w:rPr>
              <w:t xml:space="preserve">Matéria-prima (já com a quebra), MOD e embalagem (por unidade)</w:t>
            </w:r>
          </w:p>
        </w:tc>
        <w:tc>
          <w:tcPr>
            <w:tcW w:type="dxa" w:w="4680"/>
            <w:tcMar>
              <w:top w:type="dxa" w:w="80"/>
              <w:left w:type="dxa" w:w="100"/>
              <w:bottom w:type="dxa" w:w="80"/>
              <w:right w:type="dxa" w:w="100"/>
            </w:tcMar>
          </w:tcPr>
          <w:p>
            <w:pPr>
              <w:jc w:val="right"/>
            </w:pPr>
            <w:r>
              <w:rPr>
                <w:b w:val="false"/>
                <w:bCs w:val="false"/>
                <w:i w:val="false"/>
                <w:iCs w:val="false"/>
              </w:rPr>
              <w:t xml:space="preserve">Custo variável</w:t>
            </w:r>
          </w:p>
        </w:tc>
      </w:tr>
      <w:tr>
        <w:tc>
          <w:tcPr>
            <w:tcW w:type="dxa" w:w="4680"/>
            <w:tcMar>
              <w:top w:type="dxa" w:w="80"/>
              <w:left w:type="dxa" w:w="100"/>
              <w:bottom w:type="dxa" w:w="80"/>
              <w:right w:type="dxa" w:w="100"/>
            </w:tcMar>
          </w:tcPr>
          <w:p>
            <w:pPr>
              <w:jc w:val="left"/>
            </w:pPr>
            <w:r>
              <w:rPr>
                <w:b w:val="false"/>
                <w:bCs w:val="false"/>
                <w:i w:val="false"/>
                <w:iCs w:val="false"/>
              </w:rPr>
              <w:t xml:space="preserve">Comissão de vendas e frete de distribuição (por unidade)</w:t>
            </w:r>
          </w:p>
        </w:tc>
        <w:tc>
          <w:tcPr>
            <w:tcW w:type="dxa" w:w="4680"/>
            <w:tcMar>
              <w:top w:type="dxa" w:w="80"/>
              <w:left w:type="dxa" w:w="100"/>
              <w:bottom w:type="dxa" w:w="80"/>
              <w:right w:type="dxa" w:w="100"/>
            </w:tcMar>
          </w:tcPr>
          <w:p>
            <w:pPr>
              <w:jc w:val="right"/>
            </w:pPr>
            <w:r>
              <w:rPr>
                <w:b w:val="false"/>
                <w:bCs w:val="false"/>
                <w:i w:val="false"/>
                <w:iCs w:val="false"/>
              </w:rPr>
              <w:t xml:space="preserve">Despesa variável</w:t>
            </w:r>
          </w:p>
        </w:tc>
      </w:tr>
      <w:tr>
        <w:tc>
          <w:tcPr>
            <w:tcW w:type="dxa" w:w="4680"/>
            <w:tcMar>
              <w:top w:type="dxa" w:w="80"/>
              <w:left w:type="dxa" w:w="100"/>
              <w:bottom w:type="dxa" w:w="80"/>
              <w:right w:type="dxa" w:w="100"/>
            </w:tcMar>
          </w:tcPr>
          <w:p>
            <w:pPr>
              <w:jc w:val="left"/>
            </w:pPr>
            <w:r>
              <w:rPr>
                <w:b w:val="false"/>
                <w:bCs w:val="false"/>
                <w:i w:val="false"/>
                <w:iCs w:val="false"/>
              </w:rPr>
              <w:t xml:space="preserve">Aluguel do galpão, depreciação de fornos e masseiras, supervisão</w:t>
            </w:r>
          </w:p>
        </w:tc>
        <w:tc>
          <w:tcPr>
            <w:tcW w:type="dxa" w:w="4680"/>
            <w:tcMar>
              <w:top w:type="dxa" w:w="80"/>
              <w:left w:type="dxa" w:w="100"/>
              <w:bottom w:type="dxa" w:w="80"/>
              <w:right w:type="dxa" w:w="100"/>
            </w:tcMar>
          </w:tcPr>
          <w:p>
            <w:pPr>
              <w:jc w:val="right"/>
            </w:pPr>
            <w:r>
              <w:rPr>
                <w:b w:val="false"/>
                <w:bCs w:val="false"/>
                <w:i w:val="false"/>
                <w:iCs w:val="false"/>
              </w:rPr>
              <w:t xml:space="preserve">Custo fixo (indireto)</w:t>
            </w:r>
          </w:p>
        </w:tc>
      </w:tr>
      <w:tr>
        <w:tc>
          <w:tcPr>
            <w:tcW w:type="dxa" w:w="4680"/>
            <w:tcMar>
              <w:top w:type="dxa" w:w="80"/>
              <w:left w:type="dxa" w:w="100"/>
              <w:bottom w:type="dxa" w:w="80"/>
              <w:right w:type="dxa" w:w="100"/>
            </w:tcMar>
          </w:tcPr>
          <w:p>
            <w:pPr>
              <w:jc w:val="left"/>
            </w:pPr>
            <w:r>
              <w:rPr>
                <w:b w:val="false"/>
                <w:bCs w:val="false"/>
                <w:i w:val="false"/>
                <w:iCs w:val="false"/>
              </w:rPr>
              <w:t xml:space="preserve">Aluguel do escritório, salários administrativos, depreciação de móveis, gerente comercial</w:t>
            </w:r>
          </w:p>
        </w:tc>
        <w:tc>
          <w:tcPr>
            <w:tcW w:type="dxa" w:w="4680"/>
            <w:tcMar>
              <w:top w:type="dxa" w:w="80"/>
              <w:left w:type="dxa" w:w="100"/>
              <w:bottom w:type="dxa" w:w="80"/>
              <w:right w:type="dxa" w:w="100"/>
            </w:tcMar>
          </w:tcPr>
          <w:p>
            <w:pPr>
              <w:jc w:val="right"/>
            </w:pPr>
            <w:r>
              <w:rPr>
                <w:b w:val="false"/>
                <w:bCs w:val="false"/>
                <w:i w:val="false"/>
                <w:iCs w:val="false"/>
              </w:rPr>
              <w:t xml:space="preserve">Despesa fixa</w:t>
            </w:r>
          </w:p>
        </w:tc>
      </w:tr>
    </w:tbl>
    <w:p>
      <w:pPr>
        <w:pStyle w:val="Heading1"/>
        <w:spacing w:after="150" w:before="300"/>
      </w:pPr>
      <w:r>
        <w:t xml:space="preserve">Passo 1 — Receita por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80"/>
              <w:left w:type="dxa" w:w="100"/>
              <w:bottom w:type="dxa" w:w="80"/>
              <w:right w:type="dxa" w:w="100"/>
            </w:tcMar>
          </w:tcPr>
          <w:p>
            <w:pPr>
              <w:jc w:val="center"/>
            </w:pPr>
            <w:r>
              <w:rPr>
                <w:b/>
                <w:bCs/>
                <w:i w:val="false"/>
                <w:iCs w:val="false"/>
              </w:rPr>
              <w:t xml:space="preserve">Produto</w:t>
            </w:r>
          </w:p>
        </w:tc>
        <w:tc>
          <w:tcPr>
            <w:tcW w:type="dxa" w:w="2340"/>
            <w:shd w:fill="D9E2F3" w:val="clear"/>
            <w:tcMar>
              <w:top w:type="dxa" w:w="80"/>
              <w:left w:type="dxa" w:w="100"/>
              <w:bottom w:type="dxa" w:w="80"/>
              <w:right w:type="dxa" w:w="100"/>
            </w:tcMar>
          </w:tcPr>
          <w:p>
            <w:pPr>
              <w:jc w:val="center"/>
            </w:pPr>
            <w:r>
              <w:rPr>
                <w:b/>
                <w:bCs/>
                <w:i w:val="false"/>
                <w:iCs w:val="false"/>
              </w:rPr>
              <w:t xml:space="preserve">Volume</w:t>
            </w:r>
          </w:p>
        </w:tc>
        <w:tc>
          <w:tcPr>
            <w:tcW w:type="dxa" w:w="2340"/>
            <w:shd w:fill="D9E2F3" w:val="clear"/>
            <w:tcMar>
              <w:top w:type="dxa" w:w="80"/>
              <w:left w:type="dxa" w:w="100"/>
              <w:bottom w:type="dxa" w:w="80"/>
              <w:right w:type="dxa" w:w="100"/>
            </w:tcMar>
          </w:tcPr>
          <w:p>
            <w:pPr>
              <w:jc w:val="center"/>
            </w:pPr>
            <w:r>
              <w:rPr>
                <w:b/>
                <w:bCs/>
                <w:i w:val="false"/>
                <w:iCs w:val="false"/>
              </w:rPr>
              <w:t xml:space="preserve">Preço ($)</w:t>
            </w:r>
          </w:p>
        </w:tc>
        <w:tc>
          <w:tcPr>
            <w:tcW w:type="dxa" w:w="2340"/>
            <w:shd w:fill="D9E2F3" w:val="clear"/>
            <w:tcMar>
              <w:top w:type="dxa" w:w="80"/>
              <w:left w:type="dxa" w:w="100"/>
              <w:bottom w:type="dxa" w:w="80"/>
              <w:right w:type="dxa" w:w="100"/>
            </w:tcMar>
          </w:tcPr>
          <w:p>
            <w:pPr>
              <w:jc w:val="center"/>
            </w:pPr>
            <w:r>
              <w:rPr>
                <w:b/>
                <w:bCs/>
                <w:i w:val="false"/>
                <w:iCs w:val="false"/>
              </w:rPr>
              <w:t xml:space="preserve">Receita ($)</w:t>
            </w:r>
          </w:p>
        </w:tc>
      </w:tr>
      <w:tr>
        <w:tc>
          <w:tcPr>
            <w:tcW w:type="dxa" w:w="2340"/>
            <w:tcMar>
              <w:top w:type="dxa" w:w="80"/>
              <w:left w:type="dxa" w:w="100"/>
              <w:bottom w:type="dxa" w:w="80"/>
              <w:right w:type="dxa" w:w="100"/>
            </w:tcMar>
          </w:tcPr>
          <w:p>
            <w:pPr>
              <w:jc w:val="left"/>
            </w:pPr>
            <w:r>
              <w:rPr>
                <w:b w:val="false"/>
                <w:bCs w:val="false"/>
                <w:i w:val="false"/>
                <w:iCs w:val="false"/>
              </w:rPr>
              <w:t xml:space="preserve">Pão francês</w:t>
            </w:r>
          </w:p>
        </w:tc>
        <w:tc>
          <w:tcPr>
            <w:tcW w:type="dxa" w:w="2340"/>
            <w:tcMar>
              <w:top w:type="dxa" w:w="80"/>
              <w:left w:type="dxa" w:w="100"/>
              <w:bottom w:type="dxa" w:w="80"/>
              <w:right w:type="dxa" w:w="100"/>
            </w:tcMar>
          </w:tcPr>
          <w:p>
            <w:pPr>
              <w:jc w:val="right"/>
            </w:pPr>
            <w:r>
              <w:rPr>
                <w:b w:val="false"/>
                <w:bCs w:val="false"/>
                <w:i w:val="false"/>
                <w:iCs w:val="false"/>
              </w:rPr>
              <w:t xml:space="preserve">900.000</w:t>
            </w:r>
          </w:p>
        </w:tc>
        <w:tc>
          <w:tcPr>
            <w:tcW w:type="dxa" w:w="2340"/>
            <w:tcMar>
              <w:top w:type="dxa" w:w="80"/>
              <w:left w:type="dxa" w:w="100"/>
              <w:bottom w:type="dxa" w:w="80"/>
              <w:right w:type="dxa" w:w="100"/>
            </w:tcMar>
          </w:tcPr>
          <w:p>
            <w:pPr>
              <w:jc w:val="right"/>
            </w:pPr>
            <w:r>
              <w:rPr>
                <w:b w:val="false"/>
                <w:bCs w:val="false"/>
                <w:i w:val="false"/>
                <w:iCs w:val="false"/>
              </w:rPr>
              <w:t xml:space="preserve">0,60</w:t>
            </w:r>
          </w:p>
        </w:tc>
        <w:tc>
          <w:tcPr>
            <w:tcW w:type="dxa" w:w="2340"/>
            <w:tcMar>
              <w:top w:type="dxa" w:w="80"/>
              <w:left w:type="dxa" w:w="100"/>
              <w:bottom w:type="dxa" w:w="80"/>
              <w:right w:type="dxa" w:w="100"/>
            </w:tcMar>
          </w:tcPr>
          <w:p>
            <w:pPr>
              <w:jc w:val="right"/>
            </w:pPr>
            <w:r>
              <w:rPr>
                <w:b w:val="false"/>
                <w:bCs w:val="false"/>
                <w:i w:val="false"/>
                <w:iCs w:val="false"/>
              </w:rPr>
              <w:t xml:space="preserve">540.000,00</w:t>
            </w:r>
          </w:p>
        </w:tc>
      </w:tr>
      <w:tr>
        <w:tc>
          <w:tcPr>
            <w:tcW w:type="dxa" w:w="2340"/>
            <w:tcMar>
              <w:top w:type="dxa" w:w="80"/>
              <w:left w:type="dxa" w:w="100"/>
              <w:bottom w:type="dxa" w:w="80"/>
              <w:right w:type="dxa" w:w="100"/>
            </w:tcMar>
          </w:tcPr>
          <w:p>
            <w:pPr>
              <w:jc w:val="left"/>
            </w:pPr>
            <w:r>
              <w:rPr>
                <w:b w:val="false"/>
                <w:bCs w:val="false"/>
                <w:i w:val="false"/>
                <w:iCs w:val="false"/>
              </w:rPr>
              <w:t xml:space="preserve">Pão de forma</w:t>
            </w:r>
          </w:p>
        </w:tc>
        <w:tc>
          <w:tcPr>
            <w:tcW w:type="dxa" w:w="2340"/>
            <w:tcMar>
              <w:top w:type="dxa" w:w="80"/>
              <w:left w:type="dxa" w:w="100"/>
              <w:bottom w:type="dxa" w:w="80"/>
              <w:right w:type="dxa" w:w="100"/>
            </w:tcMar>
          </w:tcPr>
          <w:p>
            <w:pPr>
              <w:jc w:val="right"/>
            </w:pPr>
            <w:r>
              <w:rPr>
                <w:b w:val="false"/>
                <w:bCs w:val="false"/>
                <w:i w:val="false"/>
                <w:iCs w:val="false"/>
              </w:rPr>
              <w:t xml:space="preserve">150.000</w:t>
            </w:r>
          </w:p>
        </w:tc>
        <w:tc>
          <w:tcPr>
            <w:tcW w:type="dxa" w:w="2340"/>
            <w:tcMar>
              <w:top w:type="dxa" w:w="80"/>
              <w:left w:type="dxa" w:w="100"/>
              <w:bottom w:type="dxa" w:w="80"/>
              <w:right w:type="dxa" w:w="100"/>
            </w:tcMar>
          </w:tcPr>
          <w:p>
            <w:pPr>
              <w:jc w:val="right"/>
            </w:pPr>
            <w:r>
              <w:rPr>
                <w:b w:val="false"/>
                <w:bCs w:val="false"/>
                <w:i w:val="false"/>
                <w:iCs w:val="false"/>
              </w:rPr>
              <w:t xml:space="preserve">6,50</w:t>
            </w:r>
          </w:p>
        </w:tc>
        <w:tc>
          <w:tcPr>
            <w:tcW w:type="dxa" w:w="2340"/>
            <w:tcMar>
              <w:top w:type="dxa" w:w="80"/>
              <w:left w:type="dxa" w:w="100"/>
              <w:bottom w:type="dxa" w:w="80"/>
              <w:right w:type="dxa" w:w="100"/>
            </w:tcMar>
          </w:tcPr>
          <w:p>
            <w:pPr>
              <w:jc w:val="right"/>
            </w:pPr>
            <w:r>
              <w:rPr>
                <w:b w:val="false"/>
                <w:bCs w:val="false"/>
                <w:i w:val="false"/>
                <w:iCs w:val="false"/>
              </w:rPr>
              <w:t xml:space="preserve">975.000,00</w:t>
            </w:r>
          </w:p>
        </w:tc>
      </w:tr>
      <w:tr>
        <w:tc>
          <w:tcPr>
            <w:tcW w:type="dxa" w:w="2340"/>
            <w:tcMar>
              <w:top w:type="dxa" w:w="80"/>
              <w:left w:type="dxa" w:w="100"/>
              <w:bottom w:type="dxa" w:w="80"/>
              <w:right w:type="dxa" w:w="100"/>
            </w:tcMar>
          </w:tcPr>
          <w:p>
            <w:pPr>
              <w:jc w:val="left"/>
            </w:pPr>
            <w:r>
              <w:rPr>
                <w:b w:val="false"/>
                <w:bCs w:val="false"/>
                <w:i w:val="false"/>
                <w:iCs w:val="false"/>
              </w:rPr>
              <w:t xml:space="preserve">Broa de milho</w:t>
            </w:r>
          </w:p>
        </w:tc>
        <w:tc>
          <w:tcPr>
            <w:tcW w:type="dxa" w:w="2340"/>
            <w:tcMar>
              <w:top w:type="dxa" w:w="80"/>
              <w:left w:type="dxa" w:w="100"/>
              <w:bottom w:type="dxa" w:w="80"/>
              <w:right w:type="dxa" w:w="100"/>
            </w:tcMar>
          </w:tcPr>
          <w:p>
            <w:pPr>
              <w:jc w:val="right"/>
            </w:pPr>
            <w:r>
              <w:rPr>
                <w:b w:val="false"/>
                <w:bCs w:val="false"/>
                <w:i w:val="false"/>
                <w:iCs w:val="false"/>
              </w:rPr>
              <w:t xml:space="preserve">80.000</w:t>
            </w:r>
          </w:p>
        </w:tc>
        <w:tc>
          <w:tcPr>
            <w:tcW w:type="dxa" w:w="2340"/>
            <w:tcMar>
              <w:top w:type="dxa" w:w="80"/>
              <w:left w:type="dxa" w:w="100"/>
              <w:bottom w:type="dxa" w:w="80"/>
              <w:right w:type="dxa" w:w="100"/>
            </w:tcMar>
          </w:tcPr>
          <w:p>
            <w:pPr>
              <w:jc w:val="right"/>
            </w:pPr>
            <w:r>
              <w:rPr>
                <w:b w:val="false"/>
                <w:bCs w:val="false"/>
                <w:i w:val="false"/>
                <w:iCs w:val="false"/>
              </w:rPr>
              <w:t xml:space="preserve">3,20</w:t>
            </w:r>
          </w:p>
        </w:tc>
        <w:tc>
          <w:tcPr>
            <w:tcW w:type="dxa" w:w="2340"/>
            <w:tcMar>
              <w:top w:type="dxa" w:w="80"/>
              <w:left w:type="dxa" w:w="100"/>
              <w:bottom w:type="dxa" w:w="80"/>
              <w:right w:type="dxa" w:w="100"/>
            </w:tcMar>
          </w:tcPr>
          <w:p>
            <w:pPr>
              <w:jc w:val="right"/>
            </w:pPr>
            <w:r>
              <w:rPr>
                <w:b w:val="false"/>
                <w:bCs w:val="false"/>
                <w:i w:val="false"/>
                <w:iCs w:val="false"/>
              </w:rPr>
              <w:t xml:space="preserve">256.000,00</w:t>
            </w:r>
          </w:p>
        </w:tc>
      </w:tr>
      <w:tr>
        <w:tc>
          <w:tcPr>
            <w:tcW w:type="dxa" w:w="2340"/>
            <w:tcMar>
              <w:top w:type="dxa" w:w="80"/>
              <w:left w:type="dxa" w:w="100"/>
              <w:bottom w:type="dxa" w:w="80"/>
              <w:right w:type="dxa" w:w="100"/>
            </w:tcMar>
          </w:tcPr>
          <w:p>
            <w:pPr>
              <w:jc w:val="left"/>
            </w:pPr>
            <w:r>
              <w:rPr>
                <w:b w:val="false"/>
                <w:bCs w:val="false"/>
                <w:i w:val="false"/>
                <w:iCs w:val="false"/>
              </w:rPr>
              <w:t xml:space="preserve">Total</w:t>
            </w:r>
          </w:p>
        </w:tc>
        <w:tc>
          <w:tcPr>
            <w:tcW w:type="dxa" w:w="2340"/>
            <w:tcMar>
              <w:top w:type="dxa" w:w="80"/>
              <w:left w:type="dxa" w:w="100"/>
              <w:bottom w:type="dxa" w:w="80"/>
              <w:right w:type="dxa" w:w="100"/>
            </w:tcMar>
          </w:tcPr>
          <w:p>
            <w:pPr>
              <w:jc w:val="right"/>
            </w:pPr>
            <w:r>
              <w:rPr>
                <w:b w:val="false"/>
                <w:bCs w:val="false"/>
                <w:i w:val="false"/>
                <w:iCs w:val="false"/>
              </w:rPr>
              <w:t xml:space="preserve">1.130.000</w:t>
            </w:r>
          </w:p>
        </w:tc>
        <w:tc>
          <w:tcPr>
            <w:tcW w:type="dxa" w:w="2340"/>
            <w:tcMar>
              <w:top w:type="dxa" w:w="80"/>
              <w:left w:type="dxa" w:w="100"/>
              <w:bottom w:type="dxa" w:w="80"/>
              <w:right w:type="dxa" w:w="100"/>
            </w:tcMar>
          </w:tcPr>
          <w:p>
            <w:pPr>
              <w:jc w:val="right"/>
            </w:pPr>
            <w:r>
              <w:rPr>
                <w:b w:val="false"/>
                <w:bCs w:val="false"/>
                <w:i w:val="false"/>
                <w:iCs w:val="false"/>
              </w:rPr>
              <w:t xml:space="preserve"/>
            </w:r>
          </w:p>
        </w:tc>
        <w:tc>
          <w:tcPr>
            <w:tcW w:type="dxa" w:w="2340"/>
            <w:tcMar>
              <w:top w:type="dxa" w:w="80"/>
              <w:left w:type="dxa" w:w="100"/>
              <w:bottom w:type="dxa" w:w="80"/>
              <w:right w:type="dxa" w:w="100"/>
            </w:tcMar>
          </w:tcPr>
          <w:p>
            <w:pPr>
              <w:jc w:val="right"/>
            </w:pPr>
            <w:r>
              <w:rPr>
                <w:b w:val="false"/>
                <w:bCs w:val="false"/>
                <w:i w:val="false"/>
                <w:iCs w:val="false"/>
              </w:rPr>
              <w:t xml:space="preserve">1.771.000,00</w:t>
            </w:r>
          </w:p>
        </w:tc>
      </w:tr>
    </w:tbl>
    <w:p>
      <w:pPr>
        <w:pStyle w:val="Heading1"/>
        <w:spacing w:after="150" w:before="300"/>
      </w:pPr>
      <w:r>
        <w:t xml:space="preserve">Passo 2 — Custo variável de produção por unidade (incluindo a quebra)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val="clear"/>
            <w:tcMar>
              <w:top w:type="dxa" w:w="80"/>
              <w:left w:type="dxa" w:w="100"/>
              <w:bottom w:type="dxa" w:w="80"/>
              <w:right w:type="dxa" w:w="100"/>
            </w:tcMar>
          </w:tcPr>
          <w:p>
            <w:pPr>
              <w:jc w:val="center"/>
            </w:pPr>
            <w:r>
              <w:rPr>
                <w:b/>
                <w:bCs/>
                <w:i w:val="false"/>
                <w:iCs w:val="false"/>
              </w:rPr>
              <w:t xml:space="preserve">Produto</w:t>
            </w:r>
          </w:p>
        </w:tc>
        <w:tc>
          <w:tcPr>
            <w:tcW w:type="dxa" w:w="1560"/>
            <w:shd w:fill="D9E2F3" w:val="clear"/>
            <w:tcMar>
              <w:top w:type="dxa" w:w="80"/>
              <w:left w:type="dxa" w:w="100"/>
              <w:bottom w:type="dxa" w:w="80"/>
              <w:right w:type="dxa" w:w="100"/>
            </w:tcMar>
          </w:tcPr>
          <w:p>
            <w:pPr>
              <w:jc w:val="center"/>
            </w:pPr>
            <w:r>
              <w:rPr>
                <w:b/>
                <w:bCs/>
                <w:i w:val="false"/>
                <w:iCs w:val="false"/>
              </w:rPr>
              <w:t xml:space="preserve">Matéria-prima ($)</w:t>
            </w:r>
          </w:p>
        </w:tc>
        <w:tc>
          <w:tcPr>
            <w:tcW w:type="dxa" w:w="1560"/>
            <w:shd w:fill="D9E2F3" w:val="clear"/>
            <w:tcMar>
              <w:top w:type="dxa" w:w="80"/>
              <w:left w:type="dxa" w:w="100"/>
              <w:bottom w:type="dxa" w:w="80"/>
              <w:right w:type="dxa" w:w="100"/>
            </w:tcMar>
          </w:tcPr>
          <w:p>
            <w:pPr>
              <w:jc w:val="center"/>
            </w:pPr>
            <w:r>
              <w:rPr>
                <w:b/>
                <w:bCs/>
                <w:i w:val="false"/>
                <w:iCs w:val="false"/>
              </w:rPr>
              <w:t xml:space="preserve">Quebra ($)</w:t>
            </w:r>
          </w:p>
        </w:tc>
        <w:tc>
          <w:tcPr>
            <w:tcW w:type="dxa" w:w="1560"/>
            <w:shd w:fill="D9E2F3" w:val="clear"/>
            <w:tcMar>
              <w:top w:type="dxa" w:w="80"/>
              <w:left w:type="dxa" w:w="100"/>
              <w:bottom w:type="dxa" w:w="80"/>
              <w:right w:type="dxa" w:w="100"/>
            </w:tcMar>
          </w:tcPr>
          <w:p>
            <w:pPr>
              <w:jc w:val="center"/>
            </w:pPr>
            <w:r>
              <w:rPr>
                <w:b/>
                <w:bCs/>
                <w:i w:val="false"/>
                <w:iCs w:val="false"/>
              </w:rPr>
              <w:t xml:space="preserve">MOD ($)</w:t>
            </w:r>
          </w:p>
        </w:tc>
        <w:tc>
          <w:tcPr>
            <w:tcW w:type="dxa" w:w="1560"/>
            <w:shd w:fill="D9E2F3" w:val="clear"/>
            <w:tcMar>
              <w:top w:type="dxa" w:w="80"/>
              <w:left w:type="dxa" w:w="100"/>
              <w:bottom w:type="dxa" w:w="80"/>
              <w:right w:type="dxa" w:w="100"/>
            </w:tcMar>
          </w:tcPr>
          <w:p>
            <w:pPr>
              <w:jc w:val="center"/>
            </w:pPr>
            <w:r>
              <w:rPr>
                <w:b/>
                <w:bCs/>
                <w:i w:val="false"/>
                <w:iCs w:val="false"/>
              </w:rPr>
              <w:t xml:space="preserve">Embalagem ($)</w:t>
            </w:r>
          </w:p>
        </w:tc>
        <w:tc>
          <w:tcPr>
            <w:tcW w:type="dxa" w:w="1560"/>
            <w:shd w:fill="D9E2F3" w:val="clear"/>
            <w:tcMar>
              <w:top w:type="dxa" w:w="80"/>
              <w:left w:type="dxa" w:w="100"/>
              <w:bottom w:type="dxa" w:w="80"/>
              <w:right w:type="dxa" w:w="100"/>
            </w:tcMar>
          </w:tcPr>
          <w:p>
            <w:pPr>
              <w:jc w:val="center"/>
            </w:pPr>
            <w:r>
              <w:rPr>
                <w:b/>
                <w:bCs/>
                <w:i w:val="false"/>
                <w:iCs w:val="false"/>
              </w:rPr>
              <w:t xml:space="preserve">Custo var. unit. ($)</w:t>
            </w:r>
          </w:p>
        </w:tc>
      </w:tr>
      <w:tr>
        <w:tc>
          <w:tcPr>
            <w:tcW w:type="dxa" w:w="1560"/>
            <w:tcMar>
              <w:top w:type="dxa" w:w="80"/>
              <w:left w:type="dxa" w:w="100"/>
              <w:bottom w:type="dxa" w:w="80"/>
              <w:right w:type="dxa" w:w="100"/>
            </w:tcMar>
          </w:tcPr>
          <w:p>
            <w:pPr>
              <w:jc w:val="left"/>
            </w:pPr>
            <w:r>
              <w:rPr>
                <w:b w:val="false"/>
                <w:bCs w:val="false"/>
                <w:i w:val="false"/>
                <w:iCs w:val="false"/>
              </w:rPr>
              <w:t xml:space="preserve">Pão francês</w:t>
            </w:r>
          </w:p>
        </w:tc>
        <w:tc>
          <w:tcPr>
            <w:tcW w:type="dxa" w:w="1560"/>
            <w:tcMar>
              <w:top w:type="dxa" w:w="80"/>
              <w:left w:type="dxa" w:w="100"/>
              <w:bottom w:type="dxa" w:w="80"/>
              <w:right w:type="dxa" w:w="100"/>
            </w:tcMar>
          </w:tcPr>
          <w:p>
            <w:pPr>
              <w:jc w:val="right"/>
            </w:pPr>
            <w:r>
              <w:rPr>
                <w:b w:val="false"/>
                <w:bCs w:val="false"/>
                <w:i w:val="false"/>
                <w:iCs w:val="false"/>
              </w:rPr>
              <w:t xml:space="preserve">0,1400</w:t>
            </w:r>
          </w:p>
        </w:tc>
        <w:tc>
          <w:tcPr>
            <w:tcW w:type="dxa" w:w="1560"/>
            <w:tcMar>
              <w:top w:type="dxa" w:w="80"/>
              <w:left w:type="dxa" w:w="100"/>
              <w:bottom w:type="dxa" w:w="80"/>
              <w:right w:type="dxa" w:w="100"/>
            </w:tcMar>
          </w:tcPr>
          <w:p>
            <w:pPr>
              <w:jc w:val="right"/>
            </w:pPr>
            <w:r>
              <w:rPr>
                <w:b w:val="false"/>
                <w:bCs w:val="false"/>
                <w:i w:val="false"/>
                <w:iCs w:val="false"/>
              </w:rPr>
              <w:t xml:space="preserve">0,0084</w:t>
            </w:r>
          </w:p>
        </w:tc>
        <w:tc>
          <w:tcPr>
            <w:tcW w:type="dxa" w:w="1560"/>
            <w:tcMar>
              <w:top w:type="dxa" w:w="80"/>
              <w:left w:type="dxa" w:w="100"/>
              <w:bottom w:type="dxa" w:w="80"/>
              <w:right w:type="dxa" w:w="100"/>
            </w:tcMar>
          </w:tcPr>
          <w:p>
            <w:pPr>
              <w:jc w:val="right"/>
            </w:pPr>
            <w:r>
              <w:rPr>
                <w:b w:val="false"/>
                <w:bCs w:val="false"/>
                <w:i w:val="false"/>
                <w:iCs w:val="false"/>
              </w:rPr>
              <w:t xml:space="preserve">0,0900</w:t>
            </w:r>
          </w:p>
        </w:tc>
        <w:tc>
          <w:tcPr>
            <w:tcW w:type="dxa" w:w="1560"/>
            <w:tcMar>
              <w:top w:type="dxa" w:w="80"/>
              <w:left w:type="dxa" w:w="100"/>
              <w:bottom w:type="dxa" w:w="80"/>
              <w:right w:type="dxa" w:w="100"/>
            </w:tcMar>
          </w:tcPr>
          <w:p>
            <w:pPr>
              <w:jc w:val="right"/>
            </w:pPr>
            <w:r>
              <w:rPr>
                <w:b w:val="false"/>
                <w:bCs w:val="false"/>
                <w:i w:val="false"/>
                <w:iCs w:val="false"/>
              </w:rPr>
              <w:t xml:space="preserve">0,0000</w:t>
            </w:r>
          </w:p>
        </w:tc>
        <w:tc>
          <w:tcPr>
            <w:tcW w:type="dxa" w:w="1560"/>
            <w:tcMar>
              <w:top w:type="dxa" w:w="80"/>
              <w:left w:type="dxa" w:w="100"/>
              <w:bottom w:type="dxa" w:w="80"/>
              <w:right w:type="dxa" w:w="100"/>
            </w:tcMar>
          </w:tcPr>
          <w:p>
            <w:pPr>
              <w:jc w:val="right"/>
            </w:pPr>
            <w:r>
              <w:rPr>
                <w:b w:val="false"/>
                <w:bCs w:val="false"/>
                <w:i w:val="false"/>
                <w:iCs w:val="false"/>
              </w:rPr>
              <w:t xml:space="preserve">0,2384</w:t>
            </w:r>
          </w:p>
        </w:tc>
      </w:tr>
      <w:tr>
        <w:tc>
          <w:tcPr>
            <w:tcW w:type="dxa" w:w="1560"/>
            <w:tcMar>
              <w:top w:type="dxa" w:w="80"/>
              <w:left w:type="dxa" w:w="100"/>
              <w:bottom w:type="dxa" w:w="80"/>
              <w:right w:type="dxa" w:w="100"/>
            </w:tcMar>
          </w:tcPr>
          <w:p>
            <w:pPr>
              <w:jc w:val="left"/>
            </w:pPr>
            <w:r>
              <w:rPr>
                <w:b w:val="false"/>
                <w:bCs w:val="false"/>
                <w:i w:val="false"/>
                <w:iCs w:val="false"/>
              </w:rPr>
              <w:t xml:space="preserve">Pão de forma</w:t>
            </w:r>
          </w:p>
        </w:tc>
        <w:tc>
          <w:tcPr>
            <w:tcW w:type="dxa" w:w="1560"/>
            <w:tcMar>
              <w:top w:type="dxa" w:w="80"/>
              <w:left w:type="dxa" w:w="100"/>
              <w:bottom w:type="dxa" w:w="80"/>
              <w:right w:type="dxa" w:w="100"/>
            </w:tcMar>
          </w:tcPr>
          <w:p>
            <w:pPr>
              <w:jc w:val="right"/>
            </w:pPr>
            <w:r>
              <w:rPr>
                <w:b w:val="false"/>
                <w:bCs w:val="false"/>
                <w:i w:val="false"/>
                <w:iCs w:val="false"/>
              </w:rPr>
              <w:t xml:space="preserve">1,6000</w:t>
            </w:r>
          </w:p>
        </w:tc>
        <w:tc>
          <w:tcPr>
            <w:tcW w:type="dxa" w:w="1560"/>
            <w:tcMar>
              <w:top w:type="dxa" w:w="80"/>
              <w:left w:type="dxa" w:w="100"/>
              <w:bottom w:type="dxa" w:w="80"/>
              <w:right w:type="dxa" w:w="100"/>
            </w:tcMar>
          </w:tcPr>
          <w:p>
            <w:pPr>
              <w:jc w:val="right"/>
            </w:pPr>
            <w:r>
              <w:rPr>
                <w:b w:val="false"/>
                <w:bCs w:val="false"/>
                <w:i w:val="false"/>
                <w:iCs w:val="false"/>
              </w:rPr>
              <w:t xml:space="preserve">0,0640</w:t>
            </w:r>
          </w:p>
        </w:tc>
        <w:tc>
          <w:tcPr>
            <w:tcW w:type="dxa" w:w="1560"/>
            <w:tcMar>
              <w:top w:type="dxa" w:w="80"/>
              <w:left w:type="dxa" w:w="100"/>
              <w:bottom w:type="dxa" w:w="80"/>
              <w:right w:type="dxa" w:w="100"/>
            </w:tcMar>
          </w:tcPr>
          <w:p>
            <w:pPr>
              <w:jc w:val="right"/>
            </w:pPr>
            <w:r>
              <w:rPr>
                <w:b w:val="false"/>
                <w:bCs w:val="false"/>
                <w:i w:val="false"/>
                <w:iCs w:val="false"/>
              </w:rPr>
              <w:t xml:space="preserve">0,4500</w:t>
            </w:r>
          </w:p>
        </w:tc>
        <w:tc>
          <w:tcPr>
            <w:tcW w:type="dxa" w:w="1560"/>
            <w:tcMar>
              <w:top w:type="dxa" w:w="80"/>
              <w:left w:type="dxa" w:w="100"/>
              <w:bottom w:type="dxa" w:w="80"/>
              <w:right w:type="dxa" w:w="100"/>
            </w:tcMar>
          </w:tcPr>
          <w:p>
            <w:pPr>
              <w:jc w:val="right"/>
            </w:pPr>
            <w:r>
              <w:rPr>
                <w:b w:val="false"/>
                <w:bCs w:val="false"/>
                <w:i w:val="false"/>
                <w:iCs w:val="false"/>
              </w:rPr>
              <w:t xml:space="preserve">0,3000</w:t>
            </w:r>
          </w:p>
        </w:tc>
        <w:tc>
          <w:tcPr>
            <w:tcW w:type="dxa" w:w="1560"/>
            <w:tcMar>
              <w:top w:type="dxa" w:w="80"/>
              <w:left w:type="dxa" w:w="100"/>
              <w:bottom w:type="dxa" w:w="80"/>
              <w:right w:type="dxa" w:w="100"/>
            </w:tcMar>
          </w:tcPr>
          <w:p>
            <w:pPr>
              <w:jc w:val="right"/>
            </w:pPr>
            <w:r>
              <w:rPr>
                <w:b w:val="false"/>
                <w:bCs w:val="false"/>
                <w:i w:val="false"/>
                <w:iCs w:val="false"/>
              </w:rPr>
              <w:t xml:space="preserve">2,4140</w:t>
            </w:r>
          </w:p>
        </w:tc>
      </w:tr>
      <w:tr>
        <w:tc>
          <w:tcPr>
            <w:tcW w:type="dxa" w:w="1560"/>
            <w:tcMar>
              <w:top w:type="dxa" w:w="80"/>
              <w:left w:type="dxa" w:w="100"/>
              <w:bottom w:type="dxa" w:w="80"/>
              <w:right w:type="dxa" w:w="100"/>
            </w:tcMar>
          </w:tcPr>
          <w:p>
            <w:pPr>
              <w:jc w:val="left"/>
            </w:pPr>
            <w:r>
              <w:rPr>
                <w:b w:val="false"/>
                <w:bCs w:val="false"/>
                <w:i w:val="false"/>
                <w:iCs w:val="false"/>
              </w:rPr>
              <w:t xml:space="preserve">Broa de milho</w:t>
            </w:r>
          </w:p>
        </w:tc>
        <w:tc>
          <w:tcPr>
            <w:tcW w:type="dxa" w:w="1560"/>
            <w:tcMar>
              <w:top w:type="dxa" w:w="80"/>
              <w:left w:type="dxa" w:w="100"/>
              <w:bottom w:type="dxa" w:w="80"/>
              <w:right w:type="dxa" w:w="100"/>
            </w:tcMar>
          </w:tcPr>
          <w:p>
            <w:pPr>
              <w:jc w:val="right"/>
            </w:pPr>
            <w:r>
              <w:rPr>
                <w:b w:val="false"/>
                <w:bCs w:val="false"/>
                <w:i w:val="false"/>
                <w:iCs w:val="false"/>
              </w:rPr>
              <w:t xml:space="preserve">0,8500</w:t>
            </w:r>
          </w:p>
        </w:tc>
        <w:tc>
          <w:tcPr>
            <w:tcW w:type="dxa" w:w="1560"/>
            <w:tcMar>
              <w:top w:type="dxa" w:w="80"/>
              <w:left w:type="dxa" w:w="100"/>
              <w:bottom w:type="dxa" w:w="80"/>
              <w:right w:type="dxa" w:w="100"/>
            </w:tcMar>
          </w:tcPr>
          <w:p>
            <w:pPr>
              <w:jc w:val="right"/>
            </w:pPr>
            <w:r>
              <w:rPr>
                <w:b w:val="false"/>
                <w:bCs w:val="false"/>
                <w:i w:val="false"/>
                <w:iCs w:val="false"/>
              </w:rPr>
              <w:t xml:space="preserve">0,0425</w:t>
            </w:r>
          </w:p>
        </w:tc>
        <w:tc>
          <w:tcPr>
            <w:tcW w:type="dxa" w:w="1560"/>
            <w:tcMar>
              <w:top w:type="dxa" w:w="80"/>
              <w:left w:type="dxa" w:w="100"/>
              <w:bottom w:type="dxa" w:w="80"/>
              <w:right w:type="dxa" w:w="100"/>
            </w:tcMar>
          </w:tcPr>
          <w:p>
            <w:pPr>
              <w:jc w:val="right"/>
            </w:pPr>
            <w:r>
              <w:rPr>
                <w:b w:val="false"/>
                <w:bCs w:val="false"/>
                <w:i w:val="false"/>
                <w:iCs w:val="false"/>
              </w:rPr>
              <w:t xml:space="preserve">0,3500</w:t>
            </w:r>
          </w:p>
        </w:tc>
        <w:tc>
          <w:tcPr>
            <w:tcW w:type="dxa" w:w="1560"/>
            <w:tcMar>
              <w:top w:type="dxa" w:w="80"/>
              <w:left w:type="dxa" w:w="100"/>
              <w:bottom w:type="dxa" w:w="80"/>
              <w:right w:type="dxa" w:w="100"/>
            </w:tcMar>
          </w:tcPr>
          <w:p>
            <w:pPr>
              <w:jc w:val="right"/>
            </w:pPr>
            <w:r>
              <w:rPr>
                <w:b w:val="false"/>
                <w:bCs w:val="false"/>
                <w:i w:val="false"/>
                <w:iCs w:val="false"/>
              </w:rPr>
              <w:t xml:space="preserve">0,1500</w:t>
            </w:r>
          </w:p>
        </w:tc>
        <w:tc>
          <w:tcPr>
            <w:tcW w:type="dxa" w:w="1560"/>
            <w:tcMar>
              <w:top w:type="dxa" w:w="80"/>
              <w:left w:type="dxa" w:w="100"/>
              <w:bottom w:type="dxa" w:w="80"/>
              <w:right w:type="dxa" w:w="100"/>
            </w:tcMar>
          </w:tcPr>
          <w:p>
            <w:pPr>
              <w:jc w:val="right"/>
            </w:pPr>
            <w:r>
              <w:rPr>
                <w:b w:val="false"/>
                <w:bCs w:val="false"/>
                <w:i w:val="false"/>
                <w:iCs w:val="false"/>
              </w:rPr>
              <w:t xml:space="preserve">1,3925</w:t>
            </w:r>
          </w:p>
        </w:tc>
      </w:tr>
    </w:tbl>
    <w:p>
      <w:pPr>
        <w:pStyle w:val="Heading1"/>
        <w:spacing w:after="150" w:before="300"/>
      </w:pPr>
      <w:r>
        <w:t xml:space="preserve">a) Margem de contribuição por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val="clear"/>
            <w:tcMar>
              <w:top w:type="dxa" w:w="80"/>
              <w:left w:type="dxa" w:w="100"/>
              <w:bottom w:type="dxa" w:w="80"/>
              <w:right w:type="dxa" w:w="100"/>
            </w:tcMar>
          </w:tcPr>
          <w:p>
            <w:pPr>
              <w:jc w:val="center"/>
            </w:pPr>
            <w:r>
              <w:rPr>
                <w:b/>
                <w:bCs/>
                <w:i w:val="false"/>
                <w:iCs w:val="false"/>
              </w:rPr>
              <w:t xml:space="preserve">Produto</w:t>
            </w:r>
          </w:p>
        </w:tc>
        <w:tc>
          <w:tcPr>
            <w:tcW w:type="dxa" w:w="1560"/>
            <w:shd w:fill="D9E2F3" w:val="clear"/>
            <w:tcMar>
              <w:top w:type="dxa" w:w="80"/>
              <w:left w:type="dxa" w:w="100"/>
              <w:bottom w:type="dxa" w:w="80"/>
              <w:right w:type="dxa" w:w="100"/>
            </w:tcMar>
          </w:tcPr>
          <w:p>
            <w:pPr>
              <w:jc w:val="center"/>
            </w:pPr>
            <w:r>
              <w:rPr>
                <w:b/>
                <w:bCs/>
                <w:i w:val="false"/>
                <w:iCs w:val="false"/>
              </w:rPr>
              <w:t xml:space="preserve">Preço ($)</w:t>
            </w:r>
          </w:p>
        </w:tc>
        <w:tc>
          <w:tcPr>
            <w:tcW w:type="dxa" w:w="1560"/>
            <w:shd w:fill="D9E2F3" w:val="clear"/>
            <w:tcMar>
              <w:top w:type="dxa" w:w="80"/>
              <w:left w:type="dxa" w:w="100"/>
              <w:bottom w:type="dxa" w:w="80"/>
              <w:right w:type="dxa" w:w="100"/>
            </w:tcMar>
          </w:tcPr>
          <w:p>
            <w:pPr>
              <w:jc w:val="center"/>
            </w:pPr>
            <w:r>
              <w:rPr>
                <w:b/>
                <w:bCs/>
                <w:i w:val="false"/>
                <w:iCs w:val="false"/>
              </w:rPr>
              <w:t xml:space="preserve">Custo var. unit. ($)</w:t>
            </w:r>
          </w:p>
        </w:tc>
        <w:tc>
          <w:tcPr>
            <w:tcW w:type="dxa" w:w="1560"/>
            <w:shd w:fill="D9E2F3" w:val="clear"/>
            <w:tcMar>
              <w:top w:type="dxa" w:w="80"/>
              <w:left w:type="dxa" w:w="100"/>
              <w:bottom w:type="dxa" w:w="80"/>
              <w:right w:type="dxa" w:w="100"/>
            </w:tcMar>
          </w:tcPr>
          <w:p>
            <w:pPr>
              <w:jc w:val="center"/>
            </w:pPr>
            <w:r>
              <w:rPr>
                <w:b/>
                <w:bCs/>
                <w:i w:val="false"/>
                <w:iCs w:val="false"/>
              </w:rPr>
              <w:t xml:space="preserve">Desp. var. unit. ($)</w:t>
            </w:r>
          </w:p>
        </w:tc>
        <w:tc>
          <w:tcPr>
            <w:tcW w:type="dxa" w:w="1560"/>
            <w:shd w:fill="D9E2F3" w:val="clear"/>
            <w:tcMar>
              <w:top w:type="dxa" w:w="80"/>
              <w:left w:type="dxa" w:w="100"/>
              <w:bottom w:type="dxa" w:w="80"/>
              <w:right w:type="dxa" w:w="100"/>
            </w:tcMar>
          </w:tcPr>
          <w:p>
            <w:pPr>
              <w:jc w:val="center"/>
            </w:pPr>
            <w:r>
              <w:rPr>
                <w:b/>
                <w:bCs/>
                <w:i w:val="false"/>
                <w:iCs w:val="false"/>
              </w:rPr>
              <w:t xml:space="preserve">MC unitária ($)</w:t>
            </w:r>
          </w:p>
        </w:tc>
        <w:tc>
          <w:tcPr>
            <w:tcW w:type="dxa" w:w="1560"/>
            <w:shd w:fill="D9E2F3" w:val="clear"/>
            <w:tcMar>
              <w:top w:type="dxa" w:w="80"/>
              <w:left w:type="dxa" w:w="100"/>
              <w:bottom w:type="dxa" w:w="80"/>
              <w:right w:type="dxa" w:w="100"/>
            </w:tcMar>
          </w:tcPr>
          <w:p>
            <w:pPr>
              <w:jc w:val="center"/>
            </w:pPr>
            <w:r>
              <w:rPr>
                <w:b/>
                <w:bCs/>
                <w:i w:val="false"/>
                <w:iCs w:val="false"/>
              </w:rPr>
              <w:t xml:space="preserve">MC total ($)</w:t>
            </w:r>
          </w:p>
        </w:tc>
      </w:tr>
      <w:tr>
        <w:tc>
          <w:tcPr>
            <w:tcW w:type="dxa" w:w="1560"/>
            <w:tcMar>
              <w:top w:type="dxa" w:w="80"/>
              <w:left w:type="dxa" w:w="100"/>
              <w:bottom w:type="dxa" w:w="80"/>
              <w:right w:type="dxa" w:w="100"/>
            </w:tcMar>
          </w:tcPr>
          <w:p>
            <w:pPr>
              <w:jc w:val="left"/>
            </w:pPr>
            <w:r>
              <w:rPr>
                <w:b w:val="false"/>
                <w:bCs w:val="false"/>
                <w:i w:val="false"/>
                <w:iCs w:val="false"/>
              </w:rPr>
              <w:t xml:space="preserve">Pão francês</w:t>
            </w:r>
          </w:p>
        </w:tc>
        <w:tc>
          <w:tcPr>
            <w:tcW w:type="dxa" w:w="1560"/>
            <w:tcMar>
              <w:top w:type="dxa" w:w="80"/>
              <w:left w:type="dxa" w:w="100"/>
              <w:bottom w:type="dxa" w:w="80"/>
              <w:right w:type="dxa" w:w="100"/>
            </w:tcMar>
          </w:tcPr>
          <w:p>
            <w:pPr>
              <w:jc w:val="right"/>
            </w:pPr>
            <w:r>
              <w:rPr>
                <w:b w:val="false"/>
                <w:bCs w:val="false"/>
                <w:i w:val="false"/>
                <w:iCs w:val="false"/>
              </w:rPr>
              <w:t xml:space="preserve">0,6000</w:t>
            </w:r>
          </w:p>
        </w:tc>
        <w:tc>
          <w:tcPr>
            <w:tcW w:type="dxa" w:w="1560"/>
            <w:tcMar>
              <w:top w:type="dxa" w:w="80"/>
              <w:left w:type="dxa" w:w="100"/>
              <w:bottom w:type="dxa" w:w="80"/>
              <w:right w:type="dxa" w:w="100"/>
            </w:tcMar>
          </w:tcPr>
          <w:p>
            <w:pPr>
              <w:jc w:val="right"/>
            </w:pPr>
            <w:r>
              <w:rPr>
                <w:b w:val="false"/>
                <w:bCs w:val="false"/>
                <w:i w:val="false"/>
                <w:iCs w:val="false"/>
              </w:rPr>
              <w:t xml:space="preserve">0,2384</w:t>
            </w:r>
          </w:p>
        </w:tc>
        <w:tc>
          <w:tcPr>
            <w:tcW w:type="dxa" w:w="1560"/>
            <w:tcMar>
              <w:top w:type="dxa" w:w="80"/>
              <w:left w:type="dxa" w:w="100"/>
              <w:bottom w:type="dxa" w:w="80"/>
              <w:right w:type="dxa" w:w="100"/>
            </w:tcMar>
          </w:tcPr>
          <w:p>
            <w:pPr>
              <w:jc w:val="right"/>
            </w:pPr>
            <w:r>
              <w:rPr>
                <w:b w:val="false"/>
                <w:bCs w:val="false"/>
                <w:i w:val="false"/>
                <w:iCs w:val="false"/>
              </w:rPr>
              <w:t xml:space="preserve">0,0380</w:t>
            </w:r>
          </w:p>
        </w:tc>
        <w:tc>
          <w:tcPr>
            <w:tcW w:type="dxa" w:w="1560"/>
            <w:tcMar>
              <w:top w:type="dxa" w:w="80"/>
              <w:left w:type="dxa" w:w="100"/>
              <w:bottom w:type="dxa" w:w="80"/>
              <w:right w:type="dxa" w:w="100"/>
            </w:tcMar>
          </w:tcPr>
          <w:p>
            <w:pPr>
              <w:jc w:val="right"/>
            </w:pPr>
            <w:r>
              <w:rPr>
                <w:b w:val="false"/>
                <w:bCs w:val="false"/>
                <w:i w:val="false"/>
                <w:iCs w:val="false"/>
              </w:rPr>
              <w:t xml:space="preserve">0,3236</w:t>
            </w:r>
          </w:p>
        </w:tc>
        <w:tc>
          <w:tcPr>
            <w:tcW w:type="dxa" w:w="1560"/>
            <w:tcMar>
              <w:top w:type="dxa" w:w="80"/>
              <w:left w:type="dxa" w:w="100"/>
              <w:bottom w:type="dxa" w:w="80"/>
              <w:right w:type="dxa" w:w="100"/>
            </w:tcMar>
          </w:tcPr>
          <w:p>
            <w:pPr>
              <w:jc w:val="right"/>
            </w:pPr>
            <w:r>
              <w:rPr>
                <w:b w:val="false"/>
                <w:bCs w:val="false"/>
                <w:i w:val="false"/>
                <w:iCs w:val="false"/>
              </w:rPr>
              <w:t xml:space="preserve">291.240,00</w:t>
            </w:r>
          </w:p>
        </w:tc>
      </w:tr>
      <w:tr>
        <w:tc>
          <w:tcPr>
            <w:tcW w:type="dxa" w:w="1560"/>
            <w:tcMar>
              <w:top w:type="dxa" w:w="80"/>
              <w:left w:type="dxa" w:w="100"/>
              <w:bottom w:type="dxa" w:w="80"/>
              <w:right w:type="dxa" w:w="100"/>
            </w:tcMar>
          </w:tcPr>
          <w:p>
            <w:pPr>
              <w:jc w:val="left"/>
            </w:pPr>
            <w:r>
              <w:rPr>
                <w:b w:val="false"/>
                <w:bCs w:val="false"/>
                <w:i w:val="false"/>
                <w:iCs w:val="false"/>
              </w:rPr>
              <w:t xml:space="preserve">Pão de forma</w:t>
            </w:r>
          </w:p>
        </w:tc>
        <w:tc>
          <w:tcPr>
            <w:tcW w:type="dxa" w:w="1560"/>
            <w:tcMar>
              <w:top w:type="dxa" w:w="80"/>
              <w:left w:type="dxa" w:w="100"/>
              <w:bottom w:type="dxa" w:w="80"/>
              <w:right w:type="dxa" w:w="100"/>
            </w:tcMar>
          </w:tcPr>
          <w:p>
            <w:pPr>
              <w:jc w:val="right"/>
            </w:pPr>
            <w:r>
              <w:rPr>
                <w:b w:val="false"/>
                <w:bCs w:val="false"/>
                <w:i w:val="false"/>
                <w:iCs w:val="false"/>
              </w:rPr>
              <w:t xml:space="preserve">6,5000</w:t>
            </w:r>
          </w:p>
        </w:tc>
        <w:tc>
          <w:tcPr>
            <w:tcW w:type="dxa" w:w="1560"/>
            <w:tcMar>
              <w:top w:type="dxa" w:w="80"/>
              <w:left w:type="dxa" w:w="100"/>
              <w:bottom w:type="dxa" w:w="80"/>
              <w:right w:type="dxa" w:w="100"/>
            </w:tcMar>
          </w:tcPr>
          <w:p>
            <w:pPr>
              <w:jc w:val="right"/>
            </w:pPr>
            <w:r>
              <w:rPr>
                <w:b w:val="false"/>
                <w:bCs w:val="false"/>
                <w:i w:val="false"/>
                <w:iCs w:val="false"/>
              </w:rPr>
              <w:t xml:space="preserve">2,4140</w:t>
            </w:r>
          </w:p>
        </w:tc>
        <w:tc>
          <w:tcPr>
            <w:tcW w:type="dxa" w:w="1560"/>
            <w:tcMar>
              <w:top w:type="dxa" w:w="80"/>
              <w:left w:type="dxa" w:w="100"/>
              <w:bottom w:type="dxa" w:w="80"/>
              <w:right w:type="dxa" w:w="100"/>
            </w:tcMar>
          </w:tcPr>
          <w:p>
            <w:pPr>
              <w:jc w:val="right"/>
            </w:pPr>
            <w:r>
              <w:rPr>
                <w:b w:val="false"/>
                <w:bCs w:val="false"/>
                <w:i w:val="false"/>
                <w:iCs w:val="false"/>
              </w:rPr>
              <w:t xml:space="preserve">0,2950</w:t>
            </w:r>
          </w:p>
        </w:tc>
        <w:tc>
          <w:tcPr>
            <w:tcW w:type="dxa" w:w="1560"/>
            <w:tcMar>
              <w:top w:type="dxa" w:w="80"/>
              <w:left w:type="dxa" w:w="100"/>
              <w:bottom w:type="dxa" w:w="80"/>
              <w:right w:type="dxa" w:w="100"/>
            </w:tcMar>
          </w:tcPr>
          <w:p>
            <w:pPr>
              <w:jc w:val="right"/>
            </w:pPr>
            <w:r>
              <w:rPr>
                <w:b w:val="false"/>
                <w:bCs w:val="false"/>
                <w:i w:val="false"/>
                <w:iCs w:val="false"/>
              </w:rPr>
              <w:t xml:space="preserve">3,7910</w:t>
            </w:r>
          </w:p>
        </w:tc>
        <w:tc>
          <w:tcPr>
            <w:tcW w:type="dxa" w:w="1560"/>
            <w:tcMar>
              <w:top w:type="dxa" w:w="80"/>
              <w:left w:type="dxa" w:w="100"/>
              <w:bottom w:type="dxa" w:w="80"/>
              <w:right w:type="dxa" w:w="100"/>
            </w:tcMar>
          </w:tcPr>
          <w:p>
            <w:pPr>
              <w:jc w:val="right"/>
            </w:pPr>
            <w:r>
              <w:rPr>
                <w:b w:val="false"/>
                <w:bCs w:val="false"/>
                <w:i w:val="false"/>
                <w:iCs w:val="false"/>
              </w:rPr>
              <w:t xml:space="preserve">568.650,00</w:t>
            </w:r>
          </w:p>
        </w:tc>
      </w:tr>
      <w:tr>
        <w:tc>
          <w:tcPr>
            <w:tcW w:type="dxa" w:w="1560"/>
            <w:tcMar>
              <w:top w:type="dxa" w:w="80"/>
              <w:left w:type="dxa" w:w="100"/>
              <w:bottom w:type="dxa" w:w="80"/>
              <w:right w:type="dxa" w:w="100"/>
            </w:tcMar>
          </w:tcPr>
          <w:p>
            <w:pPr>
              <w:jc w:val="left"/>
            </w:pPr>
            <w:r>
              <w:rPr>
                <w:b w:val="false"/>
                <w:bCs w:val="false"/>
                <w:i w:val="false"/>
                <w:iCs w:val="false"/>
              </w:rPr>
              <w:t xml:space="preserve">Broa de milho</w:t>
            </w:r>
          </w:p>
        </w:tc>
        <w:tc>
          <w:tcPr>
            <w:tcW w:type="dxa" w:w="1560"/>
            <w:tcMar>
              <w:top w:type="dxa" w:w="80"/>
              <w:left w:type="dxa" w:w="100"/>
              <w:bottom w:type="dxa" w:w="80"/>
              <w:right w:type="dxa" w:w="100"/>
            </w:tcMar>
          </w:tcPr>
          <w:p>
            <w:pPr>
              <w:jc w:val="right"/>
            </w:pPr>
            <w:r>
              <w:rPr>
                <w:b w:val="false"/>
                <w:bCs w:val="false"/>
                <w:i w:val="false"/>
                <w:iCs w:val="false"/>
              </w:rPr>
              <w:t xml:space="preserve">3,2000</w:t>
            </w:r>
          </w:p>
        </w:tc>
        <w:tc>
          <w:tcPr>
            <w:tcW w:type="dxa" w:w="1560"/>
            <w:tcMar>
              <w:top w:type="dxa" w:w="80"/>
              <w:left w:type="dxa" w:w="100"/>
              <w:bottom w:type="dxa" w:w="80"/>
              <w:right w:type="dxa" w:w="100"/>
            </w:tcMar>
          </w:tcPr>
          <w:p>
            <w:pPr>
              <w:jc w:val="right"/>
            </w:pPr>
            <w:r>
              <w:rPr>
                <w:b w:val="false"/>
                <w:bCs w:val="false"/>
                <w:i w:val="false"/>
                <w:iCs w:val="false"/>
              </w:rPr>
              <w:t xml:space="preserve">1,3925</w:t>
            </w:r>
          </w:p>
        </w:tc>
        <w:tc>
          <w:tcPr>
            <w:tcW w:type="dxa" w:w="1560"/>
            <w:tcMar>
              <w:top w:type="dxa" w:w="80"/>
              <w:left w:type="dxa" w:w="100"/>
              <w:bottom w:type="dxa" w:w="80"/>
              <w:right w:type="dxa" w:w="100"/>
            </w:tcMar>
          </w:tcPr>
          <w:p>
            <w:pPr>
              <w:jc w:val="right"/>
            </w:pPr>
            <w:r>
              <w:rPr>
                <w:b w:val="false"/>
                <w:bCs w:val="false"/>
                <w:i w:val="false"/>
                <w:iCs w:val="false"/>
              </w:rPr>
              <w:t xml:space="preserve">0,1760</w:t>
            </w:r>
          </w:p>
        </w:tc>
        <w:tc>
          <w:tcPr>
            <w:tcW w:type="dxa" w:w="1560"/>
            <w:tcMar>
              <w:top w:type="dxa" w:w="80"/>
              <w:left w:type="dxa" w:w="100"/>
              <w:bottom w:type="dxa" w:w="80"/>
              <w:right w:type="dxa" w:w="100"/>
            </w:tcMar>
          </w:tcPr>
          <w:p>
            <w:pPr>
              <w:jc w:val="right"/>
            </w:pPr>
            <w:r>
              <w:rPr>
                <w:b w:val="false"/>
                <w:bCs w:val="false"/>
                <w:i w:val="false"/>
                <w:iCs w:val="false"/>
              </w:rPr>
              <w:t xml:space="preserve">1,6315</w:t>
            </w:r>
          </w:p>
        </w:tc>
        <w:tc>
          <w:tcPr>
            <w:tcW w:type="dxa" w:w="1560"/>
            <w:tcMar>
              <w:top w:type="dxa" w:w="80"/>
              <w:left w:type="dxa" w:w="100"/>
              <w:bottom w:type="dxa" w:w="80"/>
              <w:right w:type="dxa" w:w="100"/>
            </w:tcMar>
          </w:tcPr>
          <w:p>
            <w:pPr>
              <w:jc w:val="right"/>
            </w:pPr>
            <w:r>
              <w:rPr>
                <w:b w:val="false"/>
                <w:bCs w:val="false"/>
                <w:i w:val="false"/>
                <w:iCs w:val="false"/>
              </w:rPr>
              <w:t xml:space="preserve">130.520,00</w:t>
            </w:r>
          </w:p>
        </w:tc>
      </w:tr>
      <w:tr>
        <w:tc>
          <w:tcPr>
            <w:tcW w:type="dxa" w:w="1560"/>
            <w:tcMar>
              <w:top w:type="dxa" w:w="80"/>
              <w:left w:type="dxa" w:w="100"/>
              <w:bottom w:type="dxa" w:w="80"/>
              <w:right w:type="dxa" w:w="100"/>
            </w:tcMar>
          </w:tcPr>
          <w:p>
            <w:pPr>
              <w:jc w:val="left"/>
            </w:pPr>
            <w:r>
              <w:rPr>
                <w:b w:val="false"/>
                <w:bCs w:val="false"/>
                <w:i w:val="false"/>
                <w:iCs w:val="false"/>
              </w:rPr>
              <w:t xml:space="preserve">Total</w:t>
            </w:r>
          </w:p>
        </w:tc>
        <w:tc>
          <w:tcPr>
            <w:tcW w:type="dxa" w:w="1560"/>
            <w:tcMar>
              <w:top w:type="dxa" w:w="80"/>
              <w:left w:type="dxa" w:w="100"/>
              <w:bottom w:type="dxa" w:w="80"/>
              <w:right w:type="dxa" w:w="100"/>
            </w:tcMar>
          </w:tcPr>
          <w:p>
            <w:pPr>
              <w:jc w:val="right"/>
            </w:pPr>
            <w:r>
              <w:rPr>
                <w:b w:val="false"/>
                <w:bCs w:val="false"/>
                <w:i w:val="false"/>
                <w:iCs w:val="false"/>
              </w:rPr>
              <w:t xml:space="preserve"/>
            </w:r>
          </w:p>
        </w:tc>
        <w:tc>
          <w:tcPr>
            <w:tcW w:type="dxa" w:w="1560"/>
            <w:tcMar>
              <w:top w:type="dxa" w:w="80"/>
              <w:left w:type="dxa" w:w="100"/>
              <w:bottom w:type="dxa" w:w="80"/>
              <w:right w:type="dxa" w:w="100"/>
            </w:tcMar>
          </w:tcPr>
          <w:p>
            <w:pPr>
              <w:jc w:val="right"/>
            </w:pPr>
            <w:r>
              <w:rPr>
                <w:b w:val="false"/>
                <w:bCs w:val="false"/>
                <w:i w:val="false"/>
                <w:iCs w:val="false"/>
              </w:rPr>
              <w:t xml:space="preserve"/>
            </w:r>
          </w:p>
        </w:tc>
        <w:tc>
          <w:tcPr>
            <w:tcW w:type="dxa" w:w="1560"/>
            <w:tcMar>
              <w:top w:type="dxa" w:w="80"/>
              <w:left w:type="dxa" w:w="100"/>
              <w:bottom w:type="dxa" w:w="80"/>
              <w:right w:type="dxa" w:w="100"/>
            </w:tcMar>
          </w:tcPr>
          <w:p>
            <w:pPr>
              <w:jc w:val="right"/>
            </w:pPr>
            <w:r>
              <w:rPr>
                <w:b w:val="false"/>
                <w:bCs w:val="false"/>
                <w:i w:val="false"/>
                <w:iCs w:val="false"/>
              </w:rPr>
              <w:t xml:space="preserve"/>
            </w:r>
          </w:p>
        </w:tc>
        <w:tc>
          <w:tcPr>
            <w:tcW w:type="dxa" w:w="1560"/>
            <w:tcMar>
              <w:top w:type="dxa" w:w="80"/>
              <w:left w:type="dxa" w:w="100"/>
              <w:bottom w:type="dxa" w:w="80"/>
              <w:right w:type="dxa" w:w="100"/>
            </w:tcMar>
          </w:tcPr>
          <w:p>
            <w:pPr>
              <w:jc w:val="right"/>
            </w:pPr>
            <w:r>
              <w:rPr>
                <w:b w:val="false"/>
                <w:bCs w:val="false"/>
                <w:i w:val="false"/>
                <w:iCs w:val="false"/>
              </w:rPr>
              <w:t xml:space="preserve"/>
            </w:r>
          </w:p>
        </w:tc>
        <w:tc>
          <w:tcPr>
            <w:tcW w:type="dxa" w:w="1560"/>
            <w:tcMar>
              <w:top w:type="dxa" w:w="80"/>
              <w:left w:type="dxa" w:w="100"/>
              <w:bottom w:type="dxa" w:w="80"/>
              <w:right w:type="dxa" w:w="100"/>
            </w:tcMar>
          </w:tcPr>
          <w:p>
            <w:pPr>
              <w:jc w:val="right"/>
            </w:pPr>
            <w:r>
              <w:rPr>
                <w:b w:val="false"/>
                <w:bCs w:val="false"/>
                <w:i w:val="false"/>
                <w:iCs w:val="false"/>
              </w:rPr>
              <w:t xml:space="preserve">990.410,00</w:t>
            </w:r>
          </w:p>
        </w:tc>
      </w:tr>
    </w:tbl>
    <w:p>
      <w:pPr>
        <w:spacing w:after="120"/>
      </w:pPr>
      <w:r>
        <w:t xml:space="preserve">Resposta a): margem de contribuição unitária = preço de venda − custo variável unitário de produção (matéria-prima já com a quebra + MOD + embalagem) − despesa variável unitária de venda (comissão + frete). Mesmo sendo valores pequenos por unidade (poucos centavos), a margem de contribuição TOTAL é relevante graças ao alto volume vendido.</w:t>
      </w:r>
    </w:p>
    <w:p>
      <w:pPr>
        <w:pStyle w:val="Heading1"/>
        <w:spacing w:after="150" w:before="300"/>
      </w:pPr>
      <w:r>
        <w:t xml:space="preserve">Resultado operacional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Margem de contribuição total</w:t>
            </w:r>
          </w:p>
        </w:tc>
        <w:tc>
          <w:tcPr>
            <w:tcW w:type="dxa" w:w="4680"/>
            <w:tcMar>
              <w:top w:type="dxa" w:w="80"/>
              <w:left w:type="dxa" w:w="100"/>
              <w:bottom w:type="dxa" w:w="80"/>
              <w:right w:type="dxa" w:w="100"/>
            </w:tcMar>
          </w:tcPr>
          <w:p>
            <w:pPr>
              <w:jc w:val="right"/>
            </w:pPr>
            <w:r>
              <w:rPr>
                <w:b w:val="false"/>
                <w:bCs w:val="false"/>
                <w:i w:val="false"/>
                <w:iCs w:val="false"/>
              </w:rPr>
              <w:t xml:space="preserve">990.410,00</w:t>
            </w:r>
          </w:p>
        </w:tc>
      </w:tr>
      <w:tr>
        <w:tc>
          <w:tcPr>
            <w:tcW w:type="dxa" w:w="4680"/>
            <w:tcMar>
              <w:top w:type="dxa" w:w="80"/>
              <w:left w:type="dxa" w:w="100"/>
              <w:bottom w:type="dxa" w:w="80"/>
              <w:right w:type="dxa" w:w="100"/>
            </w:tcMar>
          </w:tcPr>
          <w:p>
            <w:pPr>
              <w:jc w:val="left"/>
            </w:pPr>
            <w:r>
              <w:rPr>
                <w:b w:val="false"/>
                <w:bCs w:val="false"/>
                <w:i w:val="false"/>
                <w:iCs w:val="false"/>
              </w:rPr>
              <w:t xml:space="preserve">(–) Custos e despesas fixas totais</w:t>
            </w:r>
          </w:p>
        </w:tc>
        <w:tc>
          <w:tcPr>
            <w:tcW w:type="dxa" w:w="4680"/>
            <w:tcMar>
              <w:top w:type="dxa" w:w="80"/>
              <w:left w:type="dxa" w:w="100"/>
              <w:bottom w:type="dxa" w:w="80"/>
              <w:right w:type="dxa" w:w="100"/>
            </w:tcMar>
          </w:tcPr>
          <w:p>
            <w:pPr>
              <w:jc w:val="right"/>
            </w:pPr>
            <w:r>
              <w:rPr>
                <w:b w:val="false"/>
                <w:bCs w:val="false"/>
                <w:i w:val="false"/>
                <w:iCs w:val="false"/>
              </w:rPr>
              <w:t xml:space="preserve">323.000,00</w:t>
            </w:r>
          </w:p>
        </w:tc>
      </w:tr>
      <w:tr>
        <w:tc>
          <w:tcPr>
            <w:tcW w:type="dxa" w:w="4680"/>
            <w:tcMar>
              <w:top w:type="dxa" w:w="80"/>
              <w:left w:type="dxa" w:w="100"/>
              <w:bottom w:type="dxa" w:w="80"/>
              <w:right w:type="dxa" w:w="100"/>
            </w:tcMar>
          </w:tcPr>
          <w:p>
            <w:pPr>
              <w:jc w:val="left"/>
            </w:pPr>
            <w:r>
              <w:rPr>
                <w:b w:val="false"/>
                <w:bCs w:val="false"/>
                <w:i w:val="false"/>
                <w:iCs w:val="false"/>
              </w:rPr>
              <w:t xml:space="preserve">(=) Resultado operacional</w:t>
            </w:r>
          </w:p>
        </w:tc>
        <w:tc>
          <w:tcPr>
            <w:tcW w:type="dxa" w:w="4680"/>
            <w:tcMar>
              <w:top w:type="dxa" w:w="80"/>
              <w:left w:type="dxa" w:w="100"/>
              <w:bottom w:type="dxa" w:w="80"/>
              <w:right w:type="dxa" w:w="100"/>
            </w:tcMar>
          </w:tcPr>
          <w:p>
            <w:pPr>
              <w:jc w:val="right"/>
            </w:pPr>
            <w:r>
              <w:rPr>
                <w:b w:val="false"/>
                <w:bCs w:val="false"/>
                <w:i w:val="false"/>
                <w:iCs w:val="false"/>
              </w:rPr>
              <w:t xml:space="preserve">667.410,00</w:t>
            </w:r>
          </w:p>
        </w:tc>
      </w:tr>
    </w:tbl>
    <w:p>
      <w:pPr>
        <w:pStyle w:val="Heading1"/>
        <w:spacing w:after="150" w:before="300"/>
      </w:pPr>
      <w:r>
        <w:t xml:space="preserve">b) Margem pequena por unidade, resultado relevante no total</w:t>
      </w:r>
    </w:p>
    <w:p>
      <w:pPr>
        <w:spacing w:after="120"/>
      </w:pPr>
      <w:r>
        <w:t xml:space="preserve">Cada pão francês agrega pouco mais de 32 centavos de margem de contribuição (R$ 0,3236), e cada broa cerca de R$ 1,63 — valores baixos, típicos de produtos de baixo valor unitário. O que torna o negócio viável é o volume: 900.000 pães franceses no ano geram R$ 291.240,00 de margem de contribuição total, mais do que muitos produtos de margem unitária maior, mas vendidos em pequena escala. Nesse mix, o pão de forma tem a maior margem de contribuição total (R$ 568.650,00), porque combina uma margem unitária relativamente alta (R$ 3,79/pacote) com um volume ainda considerável (150.000 pacotes/ano) — mostrando que, em padarias industriais, tanto o volume quanto a margem unitária de cada item importam para o resultado final.</w:t>
      </w:r>
    </w:p>
    <w:p>
      <w:pPr>
        <w:pStyle w:val="Heading1"/>
        <w:spacing w:after="150" w:before="300"/>
      </w:pPr>
      <w:r>
        <w:t xml:space="preserve">c) Priorização em caso de capacidade ociosa</w:t>
      </w:r>
    </w:p>
    <w:p>
      <w:pPr>
        <w:spacing w:after="120"/>
      </w:pPr>
      <w:r>
        <w:t xml:space="preserve">Quando não há restrição de capacidade e a produção adicional não exige novo investimento, a prioridade deve ser dada ao produto com a maior margem de contribuição unitária, pois é o que mais adiciona ao resultado por unidade produzida. Nesse caso, o pão de forma tem a maior margem de contribuição unitária (R$ 3,79/pacote), portanto seria a prioridade para preencher as 20.000 unidades adicionais de capacidade ociosa, gerando um ganho estimado de 20.000 × R$ 3,79 ≈ R$ 75.820,00 — bem mais do que produzir 20.000 pães franceses adicionais (20.000 × R$ 0,32 ≈ R$ 6.472,00).</w:t>
      </w:r>
    </w:p>
    <w:p>
      <w:pPr>
        <w:pStyle w:val="Heading1"/>
        <w:spacing w:after="150" w:before="300"/>
      </w:pPr>
      <w:r>
        <w:t xml:space="preserve">d) Ponto de equilíbrio (mix atual de produtos)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w:t>
            </w:r>
          </w:p>
        </w:tc>
      </w:tr>
      <w:tr>
        <w:tc>
          <w:tcPr>
            <w:tcW w:type="dxa" w:w="4680"/>
            <w:tcMar>
              <w:top w:type="dxa" w:w="80"/>
              <w:left w:type="dxa" w:w="100"/>
              <w:bottom w:type="dxa" w:w="80"/>
              <w:right w:type="dxa" w:w="100"/>
            </w:tcMar>
          </w:tcPr>
          <w:p>
            <w:pPr>
              <w:jc w:val="left"/>
            </w:pPr>
            <w:r>
              <w:rPr>
                <w:b w:val="false"/>
                <w:bCs w:val="false"/>
                <w:i w:val="false"/>
                <w:iCs w:val="false"/>
              </w:rPr>
              <w:t xml:space="preserve">Margem de contribuição média ponderada por unidade</w:t>
            </w:r>
          </w:p>
        </w:tc>
        <w:tc>
          <w:tcPr>
            <w:tcW w:type="dxa" w:w="4680"/>
            <w:tcMar>
              <w:top w:type="dxa" w:w="80"/>
              <w:left w:type="dxa" w:w="100"/>
              <w:bottom w:type="dxa" w:w="80"/>
              <w:right w:type="dxa" w:w="100"/>
            </w:tcMar>
          </w:tcPr>
          <w:p>
            <w:pPr>
              <w:jc w:val="right"/>
            </w:pPr>
            <w:r>
              <w:rPr>
                <w:b w:val="false"/>
                <w:bCs w:val="false"/>
                <w:i w:val="false"/>
                <w:iCs w:val="false"/>
              </w:rPr>
              <w:t xml:space="preserve">$ 0,8765</w:t>
            </w:r>
          </w:p>
        </w:tc>
      </w:tr>
      <w:tr>
        <w:tc>
          <w:tcPr>
            <w:tcW w:type="dxa" w:w="4680"/>
            <w:tcMar>
              <w:top w:type="dxa" w:w="80"/>
              <w:left w:type="dxa" w:w="100"/>
              <w:bottom w:type="dxa" w:w="80"/>
              <w:right w:type="dxa" w:w="100"/>
            </w:tcMar>
          </w:tcPr>
          <w:p>
            <w:pPr>
              <w:jc w:val="left"/>
            </w:pPr>
            <w:r>
              <w:rPr>
                <w:b w:val="false"/>
                <w:bCs w:val="false"/>
                <w:i w:val="false"/>
                <w:iCs w:val="false"/>
              </w:rPr>
              <w:t xml:space="preserve">Ponto de equilíbrio total (unidades/ano)</w:t>
            </w:r>
          </w:p>
        </w:tc>
        <w:tc>
          <w:tcPr>
            <w:tcW w:type="dxa" w:w="4680"/>
            <w:tcMar>
              <w:top w:type="dxa" w:w="80"/>
              <w:left w:type="dxa" w:w="100"/>
              <w:bottom w:type="dxa" w:w="80"/>
              <w:right w:type="dxa" w:w="100"/>
            </w:tcMar>
          </w:tcPr>
          <w:p>
            <w:pPr>
              <w:jc w:val="right"/>
            </w:pPr>
            <w:r>
              <w:rPr>
                <w:b w:val="false"/>
                <w:bCs w:val="false"/>
                <w:i w:val="false"/>
                <w:iCs w:val="false"/>
              </w:rPr>
              <w:t xml:space="preserve">368.524,1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80"/>
              <w:left w:type="dxa" w:w="100"/>
              <w:bottom w:type="dxa" w:w="80"/>
              <w:right w:type="dxa" w:w="100"/>
            </w:tcMar>
          </w:tcPr>
          <w:p>
            <w:pPr>
              <w:jc w:val="center"/>
            </w:pPr>
            <w:r>
              <w:rPr>
                <w:b/>
                <w:bCs/>
                <w:i w:val="false"/>
                <w:iCs w:val="false"/>
              </w:rPr>
              <w:t xml:space="preserve">Produto</w:t>
            </w:r>
          </w:p>
        </w:tc>
        <w:tc>
          <w:tcPr>
            <w:tcW w:type="dxa" w:w="3120"/>
            <w:shd w:fill="D9E2F3" w:val="clear"/>
            <w:tcMar>
              <w:top w:type="dxa" w:w="80"/>
              <w:left w:type="dxa" w:w="100"/>
              <w:bottom w:type="dxa" w:w="80"/>
              <w:right w:type="dxa" w:w="100"/>
            </w:tcMar>
          </w:tcPr>
          <w:p>
            <w:pPr>
              <w:jc w:val="center"/>
            </w:pPr>
            <w:r>
              <w:rPr>
                <w:b/>
                <w:bCs/>
                <w:i w:val="false"/>
                <w:iCs w:val="false"/>
              </w:rPr>
              <w:t xml:space="preserve">% no mix atual</w:t>
            </w:r>
          </w:p>
        </w:tc>
        <w:tc>
          <w:tcPr>
            <w:tcW w:type="dxa" w:w="3120"/>
            <w:shd w:fill="D9E2F3" w:val="clear"/>
            <w:tcMar>
              <w:top w:type="dxa" w:w="80"/>
              <w:left w:type="dxa" w:w="100"/>
              <w:bottom w:type="dxa" w:w="80"/>
              <w:right w:type="dxa" w:w="100"/>
            </w:tcMar>
          </w:tcPr>
          <w:p>
            <w:pPr>
              <w:jc w:val="center"/>
            </w:pPr>
            <w:r>
              <w:rPr>
                <w:b/>
                <w:bCs/>
                <w:i w:val="false"/>
                <w:iCs w:val="false"/>
              </w:rPr>
              <w:t xml:space="preserve">Ponto de equilíbrio (unidades)</w:t>
            </w:r>
          </w:p>
        </w:tc>
      </w:tr>
      <w:tr>
        <w:tc>
          <w:tcPr>
            <w:tcW w:type="dxa" w:w="3120"/>
            <w:tcMar>
              <w:top w:type="dxa" w:w="80"/>
              <w:left w:type="dxa" w:w="100"/>
              <w:bottom w:type="dxa" w:w="80"/>
              <w:right w:type="dxa" w:w="100"/>
            </w:tcMar>
          </w:tcPr>
          <w:p>
            <w:pPr>
              <w:jc w:val="left"/>
            </w:pPr>
            <w:r>
              <w:rPr>
                <w:b w:val="false"/>
                <w:bCs w:val="false"/>
                <w:i w:val="false"/>
                <w:iCs w:val="false"/>
              </w:rPr>
              <w:t xml:space="preserve">Pão francês</w:t>
            </w:r>
          </w:p>
        </w:tc>
        <w:tc>
          <w:tcPr>
            <w:tcW w:type="dxa" w:w="3120"/>
            <w:tcMar>
              <w:top w:type="dxa" w:w="80"/>
              <w:left w:type="dxa" w:w="100"/>
              <w:bottom w:type="dxa" w:w="80"/>
              <w:right w:type="dxa" w:w="100"/>
            </w:tcMar>
          </w:tcPr>
          <w:p>
            <w:pPr>
              <w:jc w:val="right"/>
            </w:pPr>
            <w:r>
              <w:rPr>
                <w:b w:val="false"/>
                <w:bCs w:val="false"/>
                <w:i w:val="false"/>
                <w:iCs w:val="false"/>
              </w:rPr>
              <w:t xml:space="preserve">79,6%</w:t>
            </w:r>
          </w:p>
        </w:tc>
        <w:tc>
          <w:tcPr>
            <w:tcW w:type="dxa" w:w="3120"/>
            <w:tcMar>
              <w:top w:type="dxa" w:w="80"/>
              <w:left w:type="dxa" w:w="100"/>
              <w:bottom w:type="dxa" w:w="80"/>
              <w:right w:type="dxa" w:w="100"/>
            </w:tcMar>
          </w:tcPr>
          <w:p>
            <w:pPr>
              <w:jc w:val="right"/>
            </w:pPr>
            <w:r>
              <w:rPr>
                <w:b w:val="false"/>
                <w:bCs w:val="false"/>
                <w:i w:val="false"/>
                <w:iCs w:val="false"/>
              </w:rPr>
              <w:t xml:space="preserve">293.514,8</w:t>
            </w:r>
          </w:p>
        </w:tc>
      </w:tr>
      <w:tr>
        <w:tc>
          <w:tcPr>
            <w:tcW w:type="dxa" w:w="3120"/>
            <w:tcMar>
              <w:top w:type="dxa" w:w="80"/>
              <w:left w:type="dxa" w:w="100"/>
              <w:bottom w:type="dxa" w:w="80"/>
              <w:right w:type="dxa" w:w="100"/>
            </w:tcMar>
          </w:tcPr>
          <w:p>
            <w:pPr>
              <w:jc w:val="left"/>
            </w:pPr>
            <w:r>
              <w:rPr>
                <w:b w:val="false"/>
                <w:bCs w:val="false"/>
                <w:i w:val="false"/>
                <w:iCs w:val="false"/>
              </w:rPr>
              <w:t xml:space="preserve">Pão de forma</w:t>
            </w:r>
          </w:p>
        </w:tc>
        <w:tc>
          <w:tcPr>
            <w:tcW w:type="dxa" w:w="3120"/>
            <w:tcMar>
              <w:top w:type="dxa" w:w="80"/>
              <w:left w:type="dxa" w:w="100"/>
              <w:bottom w:type="dxa" w:w="80"/>
              <w:right w:type="dxa" w:w="100"/>
            </w:tcMar>
          </w:tcPr>
          <w:p>
            <w:pPr>
              <w:jc w:val="right"/>
            </w:pPr>
            <w:r>
              <w:rPr>
                <w:b w:val="false"/>
                <w:bCs w:val="false"/>
                <w:i w:val="false"/>
                <w:iCs w:val="false"/>
              </w:rPr>
              <w:t xml:space="preserve">13,3%</w:t>
            </w:r>
          </w:p>
        </w:tc>
        <w:tc>
          <w:tcPr>
            <w:tcW w:type="dxa" w:w="3120"/>
            <w:tcMar>
              <w:top w:type="dxa" w:w="80"/>
              <w:left w:type="dxa" w:w="100"/>
              <w:bottom w:type="dxa" w:w="80"/>
              <w:right w:type="dxa" w:w="100"/>
            </w:tcMar>
          </w:tcPr>
          <w:p>
            <w:pPr>
              <w:jc w:val="right"/>
            </w:pPr>
            <w:r>
              <w:rPr>
                <w:b w:val="false"/>
                <w:bCs w:val="false"/>
                <w:i w:val="false"/>
                <w:iCs w:val="false"/>
              </w:rPr>
              <w:t xml:space="preserve">48.919,1</w:t>
            </w:r>
          </w:p>
        </w:tc>
      </w:tr>
      <w:tr>
        <w:tc>
          <w:tcPr>
            <w:tcW w:type="dxa" w:w="3120"/>
            <w:tcMar>
              <w:top w:type="dxa" w:w="80"/>
              <w:left w:type="dxa" w:w="100"/>
              <w:bottom w:type="dxa" w:w="80"/>
              <w:right w:type="dxa" w:w="100"/>
            </w:tcMar>
          </w:tcPr>
          <w:p>
            <w:pPr>
              <w:jc w:val="left"/>
            </w:pPr>
            <w:r>
              <w:rPr>
                <w:b w:val="false"/>
                <w:bCs w:val="false"/>
                <w:i w:val="false"/>
                <w:iCs w:val="false"/>
              </w:rPr>
              <w:t xml:space="preserve">Broa de milho</w:t>
            </w:r>
          </w:p>
        </w:tc>
        <w:tc>
          <w:tcPr>
            <w:tcW w:type="dxa" w:w="3120"/>
            <w:tcMar>
              <w:top w:type="dxa" w:w="80"/>
              <w:left w:type="dxa" w:w="100"/>
              <w:bottom w:type="dxa" w:w="80"/>
              <w:right w:type="dxa" w:w="100"/>
            </w:tcMar>
          </w:tcPr>
          <w:p>
            <w:pPr>
              <w:jc w:val="right"/>
            </w:pPr>
            <w:r>
              <w:rPr>
                <w:b w:val="false"/>
                <w:bCs w:val="false"/>
                <w:i w:val="false"/>
                <w:iCs w:val="false"/>
              </w:rPr>
              <w:t xml:space="preserve">7,1%</w:t>
            </w:r>
          </w:p>
        </w:tc>
        <w:tc>
          <w:tcPr>
            <w:tcW w:type="dxa" w:w="3120"/>
            <w:tcMar>
              <w:top w:type="dxa" w:w="80"/>
              <w:left w:type="dxa" w:w="100"/>
              <w:bottom w:type="dxa" w:w="80"/>
              <w:right w:type="dxa" w:w="100"/>
            </w:tcMar>
          </w:tcPr>
          <w:p>
            <w:pPr>
              <w:jc w:val="right"/>
            </w:pPr>
            <w:r>
              <w:rPr>
                <w:b w:val="false"/>
                <w:bCs w:val="false"/>
                <w:i w:val="false"/>
                <w:iCs w:val="false"/>
              </w:rPr>
              <w:t xml:space="preserve">26.090,2</w:t>
            </w:r>
          </w:p>
        </w:tc>
      </w:tr>
      <w:tr>
        <w:tc>
          <w:tcPr>
            <w:tcW w:type="dxa" w:w="3120"/>
            <w:tcMar>
              <w:top w:type="dxa" w:w="80"/>
              <w:left w:type="dxa" w:w="100"/>
              <w:bottom w:type="dxa" w:w="80"/>
              <w:right w:type="dxa" w:w="100"/>
            </w:tcMar>
          </w:tcPr>
          <w:p>
            <w:pPr>
              <w:jc w:val="left"/>
            </w:pPr>
            <w:r>
              <w:rPr>
                <w:b w:val="false"/>
                <w:bCs w:val="false"/>
                <w:i w:val="false"/>
                <w:iCs w:val="false"/>
              </w:rPr>
              <w:t xml:space="preserve">Total</w:t>
            </w:r>
          </w:p>
        </w:tc>
        <w:tc>
          <w:tcPr>
            <w:tcW w:type="dxa" w:w="3120"/>
            <w:tcMar>
              <w:top w:type="dxa" w:w="80"/>
              <w:left w:type="dxa" w:w="100"/>
              <w:bottom w:type="dxa" w:w="80"/>
              <w:right w:type="dxa" w:w="100"/>
            </w:tcMar>
          </w:tcPr>
          <w:p>
            <w:pPr>
              <w:jc w:val="right"/>
            </w:pPr>
            <w:r>
              <w:rPr>
                <w:b w:val="false"/>
                <w:bCs w:val="false"/>
                <w:i w:val="false"/>
                <w:iCs w:val="false"/>
              </w:rPr>
              <w:t xml:space="preserve">100,0%</w:t>
            </w:r>
          </w:p>
        </w:tc>
        <w:tc>
          <w:tcPr>
            <w:tcW w:type="dxa" w:w="3120"/>
            <w:tcMar>
              <w:top w:type="dxa" w:w="80"/>
              <w:left w:type="dxa" w:w="100"/>
              <w:bottom w:type="dxa" w:w="80"/>
              <w:right w:type="dxa" w:w="100"/>
            </w:tcMar>
          </w:tcPr>
          <w:p>
            <w:pPr>
              <w:jc w:val="right"/>
            </w:pPr>
            <w:r>
              <w:rPr>
                <w:b w:val="false"/>
                <w:bCs w:val="false"/>
                <w:i w:val="false"/>
                <w:iCs w:val="false"/>
              </w:rPr>
              <w:t xml:space="preserve">368.524,1</w:t>
            </w:r>
          </w:p>
        </w:tc>
      </w:tr>
    </w:tbl>
    <w:p>
      <w:pPr>
        <w:spacing w:after="120"/>
      </w:pPr>
      <w:r>
        <w:t xml:space="preserve">Resposta d): o volume total efetivamente produzido e vendido no ano (1.130.000 unidades) está bem acima do ponto de equilíbrio total calculado (≈ 368.524), indicando uma margem de segurança operacional ampla.</w:t>
      </w:r>
    </w:p>
    <w:p>
      <w:pPr>
        <w:pStyle w:val="Heading1"/>
        <w:spacing w:after="150" w:before="300"/>
      </w:pPr>
      <w:r>
        <w:t xml:space="preserve">e) Impacto da redução da quebra do pão francês (de 6% para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80"/>
              <w:left w:type="dxa" w:w="100"/>
              <w:bottom w:type="dxa" w:w="80"/>
              <w:right w:type="dxa" w:w="100"/>
            </w:tcMar>
          </w:tcPr>
          <w:p>
            <w:pPr>
              <w:jc w:val="center"/>
            </w:pPr>
            <w:r>
              <w:rPr>
                <w:b/>
                <w:bCs/>
                <w:i w:val="false"/>
                <w:iCs w:val="false"/>
              </w:rPr>
              <w:t xml:space="preserve">Item</w:t>
            </w:r>
          </w:p>
        </w:tc>
        <w:tc>
          <w:tcPr>
            <w:tcW w:type="dxa" w:w="3120"/>
            <w:shd w:fill="D9E2F3" w:val="clear"/>
            <w:tcMar>
              <w:top w:type="dxa" w:w="80"/>
              <w:left w:type="dxa" w:w="100"/>
              <w:bottom w:type="dxa" w:w="80"/>
              <w:right w:type="dxa" w:w="100"/>
            </w:tcMar>
          </w:tcPr>
          <w:p>
            <w:pPr>
              <w:jc w:val="center"/>
            </w:pPr>
            <w:r>
              <w:rPr>
                <w:b/>
                <w:bCs/>
                <w:i w:val="false"/>
                <w:iCs w:val="false"/>
              </w:rPr>
              <w:t xml:space="preserve">Situação atual (quebra 6%)</w:t>
            </w:r>
          </w:p>
        </w:tc>
        <w:tc>
          <w:tcPr>
            <w:tcW w:type="dxa" w:w="3120"/>
            <w:shd w:fill="D9E2F3" w:val="clear"/>
            <w:tcMar>
              <w:top w:type="dxa" w:w="80"/>
              <w:left w:type="dxa" w:w="100"/>
              <w:bottom w:type="dxa" w:w="80"/>
              <w:right w:type="dxa" w:w="100"/>
            </w:tcMar>
          </w:tcPr>
          <w:p>
            <w:pPr>
              <w:jc w:val="center"/>
            </w:pPr>
            <w:r>
              <w:rPr>
                <w:b/>
                <w:bCs/>
                <w:i w:val="false"/>
                <w:iCs w:val="false"/>
              </w:rPr>
              <w:t xml:space="preserve">Situação com forno novo (quebra 3%)</w:t>
            </w:r>
          </w:p>
        </w:tc>
      </w:tr>
      <w:tr>
        <w:tc>
          <w:tcPr>
            <w:tcW w:type="dxa" w:w="3120"/>
            <w:tcMar>
              <w:top w:type="dxa" w:w="80"/>
              <w:left w:type="dxa" w:w="100"/>
              <w:bottom w:type="dxa" w:w="80"/>
              <w:right w:type="dxa" w:w="100"/>
            </w:tcMar>
          </w:tcPr>
          <w:p>
            <w:pPr>
              <w:jc w:val="left"/>
            </w:pPr>
            <w:r>
              <w:rPr>
                <w:b w:val="false"/>
                <w:bCs w:val="false"/>
                <w:i w:val="false"/>
                <w:iCs w:val="false"/>
              </w:rPr>
              <w:t xml:space="preserve">Quebra de produção ($/un.)</w:t>
            </w:r>
          </w:p>
        </w:tc>
        <w:tc>
          <w:tcPr>
            <w:tcW w:type="dxa" w:w="3120"/>
            <w:tcMar>
              <w:top w:type="dxa" w:w="80"/>
              <w:left w:type="dxa" w:w="100"/>
              <w:bottom w:type="dxa" w:w="80"/>
              <w:right w:type="dxa" w:w="100"/>
            </w:tcMar>
          </w:tcPr>
          <w:p>
            <w:pPr>
              <w:jc w:val="right"/>
            </w:pPr>
            <w:r>
              <w:rPr>
                <w:b w:val="false"/>
                <w:bCs w:val="false"/>
                <w:i w:val="false"/>
                <w:iCs w:val="false"/>
              </w:rPr>
              <w:t xml:space="preserve">0,0084</w:t>
            </w:r>
          </w:p>
        </w:tc>
        <w:tc>
          <w:tcPr>
            <w:tcW w:type="dxa" w:w="3120"/>
            <w:tcMar>
              <w:top w:type="dxa" w:w="80"/>
              <w:left w:type="dxa" w:w="100"/>
              <w:bottom w:type="dxa" w:w="80"/>
              <w:right w:type="dxa" w:w="100"/>
            </w:tcMar>
          </w:tcPr>
          <w:p>
            <w:pPr>
              <w:jc w:val="right"/>
            </w:pPr>
            <w:r>
              <w:rPr>
                <w:b w:val="false"/>
                <w:bCs w:val="false"/>
                <w:i w:val="false"/>
                <w:iCs w:val="false"/>
              </w:rPr>
              <w:t xml:space="preserve">0,0042</w:t>
            </w:r>
          </w:p>
        </w:tc>
      </w:tr>
      <w:tr>
        <w:tc>
          <w:tcPr>
            <w:tcW w:type="dxa" w:w="3120"/>
            <w:tcMar>
              <w:top w:type="dxa" w:w="80"/>
              <w:left w:type="dxa" w:w="100"/>
              <w:bottom w:type="dxa" w:w="80"/>
              <w:right w:type="dxa" w:w="100"/>
            </w:tcMar>
          </w:tcPr>
          <w:p>
            <w:pPr>
              <w:jc w:val="left"/>
            </w:pPr>
            <w:r>
              <w:rPr>
                <w:b w:val="false"/>
                <w:bCs w:val="false"/>
                <w:i w:val="false"/>
                <w:iCs w:val="false"/>
              </w:rPr>
              <w:t xml:space="preserve">Custo variável unitário de produção ($)</w:t>
            </w:r>
          </w:p>
        </w:tc>
        <w:tc>
          <w:tcPr>
            <w:tcW w:type="dxa" w:w="3120"/>
            <w:tcMar>
              <w:top w:type="dxa" w:w="80"/>
              <w:left w:type="dxa" w:w="100"/>
              <w:bottom w:type="dxa" w:w="80"/>
              <w:right w:type="dxa" w:w="100"/>
            </w:tcMar>
          </w:tcPr>
          <w:p>
            <w:pPr>
              <w:jc w:val="right"/>
            </w:pPr>
            <w:r>
              <w:rPr>
                <w:b w:val="false"/>
                <w:bCs w:val="false"/>
                <w:i w:val="false"/>
                <w:iCs w:val="false"/>
              </w:rPr>
              <w:t xml:space="preserve">0,2384</w:t>
            </w:r>
          </w:p>
        </w:tc>
        <w:tc>
          <w:tcPr>
            <w:tcW w:type="dxa" w:w="3120"/>
            <w:tcMar>
              <w:top w:type="dxa" w:w="80"/>
              <w:left w:type="dxa" w:w="100"/>
              <w:bottom w:type="dxa" w:w="80"/>
              <w:right w:type="dxa" w:w="100"/>
            </w:tcMar>
          </w:tcPr>
          <w:p>
            <w:pPr>
              <w:jc w:val="right"/>
            </w:pPr>
            <w:r>
              <w:rPr>
                <w:b w:val="false"/>
                <w:bCs w:val="false"/>
                <w:i w:val="false"/>
                <w:iCs w:val="false"/>
              </w:rPr>
              <w:t xml:space="preserve">0,2342</w:t>
            </w:r>
          </w:p>
        </w:tc>
      </w:tr>
      <w:tr>
        <w:tc>
          <w:tcPr>
            <w:tcW w:type="dxa" w:w="3120"/>
            <w:tcMar>
              <w:top w:type="dxa" w:w="80"/>
              <w:left w:type="dxa" w:w="100"/>
              <w:bottom w:type="dxa" w:w="80"/>
              <w:right w:type="dxa" w:w="100"/>
            </w:tcMar>
          </w:tcPr>
          <w:p>
            <w:pPr>
              <w:jc w:val="left"/>
            </w:pPr>
            <w:r>
              <w:rPr>
                <w:b w:val="false"/>
                <w:bCs w:val="false"/>
                <w:i w:val="false"/>
                <w:iCs w:val="false"/>
              </w:rPr>
              <w:t xml:space="preserve">Margem de contribuição unitária ($)</w:t>
            </w:r>
          </w:p>
        </w:tc>
        <w:tc>
          <w:tcPr>
            <w:tcW w:type="dxa" w:w="3120"/>
            <w:tcMar>
              <w:top w:type="dxa" w:w="80"/>
              <w:left w:type="dxa" w:w="100"/>
              <w:bottom w:type="dxa" w:w="80"/>
              <w:right w:type="dxa" w:w="100"/>
            </w:tcMar>
          </w:tcPr>
          <w:p>
            <w:pPr>
              <w:jc w:val="right"/>
            </w:pPr>
            <w:r>
              <w:rPr>
                <w:b w:val="false"/>
                <w:bCs w:val="false"/>
                <w:i w:val="false"/>
                <w:iCs w:val="false"/>
              </w:rPr>
              <w:t xml:space="preserve">0,3236</w:t>
            </w:r>
          </w:p>
        </w:tc>
        <w:tc>
          <w:tcPr>
            <w:tcW w:type="dxa" w:w="3120"/>
            <w:tcMar>
              <w:top w:type="dxa" w:w="80"/>
              <w:left w:type="dxa" w:w="100"/>
              <w:bottom w:type="dxa" w:w="80"/>
              <w:right w:type="dxa" w:w="100"/>
            </w:tcMar>
          </w:tcPr>
          <w:p>
            <w:pPr>
              <w:jc w:val="right"/>
            </w:pPr>
            <w:r>
              <w:rPr>
                <w:b w:val="false"/>
                <w:bCs w:val="false"/>
                <w:i w:val="false"/>
                <w:iCs w:val="false"/>
              </w:rPr>
              <w:t xml:space="preserve">0,3278</w:t>
            </w:r>
          </w:p>
        </w:tc>
      </w:tr>
      <w:tr>
        <w:tc>
          <w:tcPr>
            <w:tcW w:type="dxa" w:w="3120"/>
            <w:tcMar>
              <w:top w:type="dxa" w:w="80"/>
              <w:left w:type="dxa" w:w="100"/>
              <w:bottom w:type="dxa" w:w="80"/>
              <w:right w:type="dxa" w:w="100"/>
            </w:tcMar>
          </w:tcPr>
          <w:p>
            <w:pPr>
              <w:jc w:val="left"/>
            </w:pPr>
            <w:r>
              <w:rPr>
                <w:b w:val="false"/>
                <w:bCs w:val="false"/>
                <w:i w:val="false"/>
                <w:iCs w:val="false"/>
              </w:rPr>
              <w:t xml:space="preserve">Ganho de margem de contribuição por unidade ($)</w:t>
            </w:r>
          </w:p>
        </w:tc>
        <w:tc>
          <w:tcPr>
            <w:tcW w:type="dxa" w:w="3120"/>
            <w:tcMar>
              <w:top w:type="dxa" w:w="80"/>
              <w:left w:type="dxa" w:w="100"/>
              <w:bottom w:type="dxa" w:w="80"/>
              <w:right w:type="dxa" w:w="100"/>
            </w:tcMar>
          </w:tcPr>
          <w:p>
            <w:pPr>
              <w:jc w:val="right"/>
            </w:pPr>
            <w:r>
              <w:rPr>
                <w:b w:val="false"/>
                <w:bCs w:val="false"/>
                <w:i w:val="false"/>
                <w:iCs w:val="false"/>
              </w:rPr>
              <w:t xml:space="preserve"/>
            </w:r>
          </w:p>
        </w:tc>
        <w:tc>
          <w:tcPr>
            <w:tcW w:type="dxa" w:w="3120"/>
            <w:tcMar>
              <w:top w:type="dxa" w:w="80"/>
              <w:left w:type="dxa" w:w="100"/>
              <w:bottom w:type="dxa" w:w="80"/>
              <w:right w:type="dxa" w:w="100"/>
            </w:tcMar>
          </w:tcPr>
          <w:p>
            <w:pPr>
              <w:jc w:val="right"/>
            </w:pPr>
            <w:r>
              <w:rPr>
                <w:b w:val="false"/>
                <w:bCs w:val="false"/>
                <w:i w:val="false"/>
                <w:iCs w:val="false"/>
              </w:rPr>
              <w:t xml:space="preserve">0,0042</w:t>
            </w:r>
          </w:p>
        </w:tc>
      </w:tr>
      <w:tr>
        <w:tc>
          <w:tcPr>
            <w:tcW w:type="dxa" w:w="3120"/>
            <w:tcMar>
              <w:top w:type="dxa" w:w="80"/>
              <w:left w:type="dxa" w:w="100"/>
              <w:bottom w:type="dxa" w:w="80"/>
              <w:right w:type="dxa" w:w="100"/>
            </w:tcMar>
          </w:tcPr>
          <w:p>
            <w:pPr>
              <w:jc w:val="left"/>
            </w:pPr>
            <w:r>
              <w:rPr>
                <w:b w:val="false"/>
                <w:bCs w:val="false"/>
                <w:i w:val="false"/>
                <w:iCs w:val="false"/>
              </w:rPr>
              <w:t xml:space="preserve">Ganho total anual, mantido o volume de 900.000 un. ($)</w:t>
            </w:r>
          </w:p>
        </w:tc>
        <w:tc>
          <w:tcPr>
            <w:tcW w:type="dxa" w:w="3120"/>
            <w:tcMar>
              <w:top w:type="dxa" w:w="80"/>
              <w:left w:type="dxa" w:w="100"/>
              <w:bottom w:type="dxa" w:w="80"/>
              <w:right w:type="dxa" w:w="100"/>
            </w:tcMar>
          </w:tcPr>
          <w:p>
            <w:pPr>
              <w:jc w:val="right"/>
            </w:pPr>
            <w:r>
              <w:rPr>
                <w:b w:val="false"/>
                <w:bCs w:val="false"/>
                <w:i w:val="false"/>
                <w:iCs w:val="false"/>
              </w:rPr>
              <w:t xml:space="preserve"/>
            </w:r>
          </w:p>
        </w:tc>
        <w:tc>
          <w:tcPr>
            <w:tcW w:type="dxa" w:w="3120"/>
            <w:tcMar>
              <w:top w:type="dxa" w:w="80"/>
              <w:left w:type="dxa" w:w="100"/>
              <w:bottom w:type="dxa" w:w="80"/>
              <w:right w:type="dxa" w:w="100"/>
            </w:tcMar>
          </w:tcPr>
          <w:p>
            <w:pPr>
              <w:jc w:val="right"/>
            </w:pPr>
            <w:r>
              <w:rPr>
                <w:b w:val="false"/>
                <w:bCs w:val="false"/>
                <w:i w:val="false"/>
                <w:iCs w:val="false"/>
              </w:rPr>
              <w:t xml:space="preserve">3.780,00</w:t>
            </w:r>
          </w:p>
        </w:tc>
      </w:tr>
    </w:tbl>
    <w:p>
      <w:pPr>
        <w:spacing w:after="120"/>
      </w:pPr>
      <w:r>
        <w:t xml:space="preserve">Resposta e): reduzir a quebra de 6% para 3% economiza metade do valor gasto em matéria-prima "perdida" no pão francês, aumentando a margem de contribuição unitária em cerca de R$ 0,0042 e gerando um ganho anual de aproximadamente R$ 3.780,00 (mantido o volume de vendas). Isso, por si só, é um valor pequeno diante do investimento em um forno novo — a decisão de investir deveria considerar também outros benefícios do equipamento (menor consumo de energia, redução de quebra nos outros produtos que também passam pelo forno, maior padronização de qualidade, menor tempo de assamento), e não apenas esse ganho isolado. O exercício mostra como calcular o valor exato desse efeito, mesmo que a decisão final de investir dependa de fatores adicionais.</w:t>
      </w:r>
    </w:p>
    <w:p>
      <w:pPr>
        <w:pStyle w:val="Heading1"/>
        <w:spacing w:after="150" w:before="300"/>
      </w:pPr>
      <w:r>
        <w:t xml:space="preserve">f) Proposta da rede de supermercados (50.000 pães franceses extras a $ 0,45/un.)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w:t>
            </w:r>
          </w:p>
        </w:tc>
      </w:tr>
      <w:tr>
        <w:tc>
          <w:tcPr>
            <w:tcW w:type="dxa" w:w="4680"/>
            <w:tcMar>
              <w:top w:type="dxa" w:w="80"/>
              <w:left w:type="dxa" w:w="100"/>
              <w:bottom w:type="dxa" w:w="80"/>
              <w:right w:type="dxa" w:w="100"/>
            </w:tcMar>
          </w:tcPr>
          <w:p>
            <w:pPr>
              <w:jc w:val="left"/>
            </w:pPr>
            <w:r>
              <w:rPr>
                <w:b w:val="false"/>
                <w:bCs w:val="false"/>
                <w:i w:val="false"/>
                <w:iCs w:val="false"/>
              </w:rPr>
              <w:t xml:space="preserve">Custo variável unitário do pão francês (produção + venda)</w:t>
            </w:r>
          </w:p>
        </w:tc>
        <w:tc>
          <w:tcPr>
            <w:tcW w:type="dxa" w:w="4680"/>
            <w:tcMar>
              <w:top w:type="dxa" w:w="80"/>
              <w:left w:type="dxa" w:w="100"/>
              <w:bottom w:type="dxa" w:w="80"/>
              <w:right w:type="dxa" w:w="100"/>
            </w:tcMar>
          </w:tcPr>
          <w:p>
            <w:pPr>
              <w:jc w:val="right"/>
            </w:pPr>
            <w:r>
              <w:rPr>
                <w:b w:val="false"/>
                <w:bCs w:val="false"/>
                <w:i w:val="false"/>
                <w:iCs w:val="false"/>
              </w:rPr>
              <w:t xml:space="preserve">$ 0,2764</w:t>
            </w:r>
          </w:p>
        </w:tc>
      </w:tr>
      <w:tr>
        <w:tc>
          <w:tcPr>
            <w:tcW w:type="dxa" w:w="4680"/>
            <w:tcMar>
              <w:top w:type="dxa" w:w="80"/>
              <w:left w:type="dxa" w:w="100"/>
              <w:bottom w:type="dxa" w:w="80"/>
              <w:right w:type="dxa" w:w="100"/>
            </w:tcMar>
          </w:tcPr>
          <w:p>
            <w:pPr>
              <w:jc w:val="left"/>
            </w:pPr>
            <w:r>
              <w:rPr>
                <w:b w:val="false"/>
                <w:bCs w:val="false"/>
                <w:i w:val="false"/>
                <w:iCs w:val="false"/>
              </w:rPr>
              <w:t xml:space="preserve">Margem de contribuição unitária da proposta especial</w:t>
            </w:r>
          </w:p>
        </w:tc>
        <w:tc>
          <w:tcPr>
            <w:tcW w:type="dxa" w:w="4680"/>
            <w:tcMar>
              <w:top w:type="dxa" w:w="80"/>
              <w:left w:type="dxa" w:w="100"/>
              <w:bottom w:type="dxa" w:w="80"/>
              <w:right w:type="dxa" w:w="100"/>
            </w:tcMar>
          </w:tcPr>
          <w:p>
            <w:pPr>
              <w:jc w:val="right"/>
            </w:pPr>
            <w:r>
              <w:rPr>
                <w:b w:val="false"/>
                <w:bCs w:val="false"/>
                <w:i w:val="false"/>
                <w:iCs w:val="false"/>
              </w:rPr>
              <w:t xml:space="preserve">$ 0,1736</w:t>
            </w:r>
          </w:p>
        </w:tc>
      </w:tr>
      <w:tr>
        <w:tc>
          <w:tcPr>
            <w:tcW w:type="dxa" w:w="4680"/>
            <w:tcMar>
              <w:top w:type="dxa" w:w="80"/>
              <w:left w:type="dxa" w:w="100"/>
              <w:bottom w:type="dxa" w:w="80"/>
              <w:right w:type="dxa" w:w="100"/>
            </w:tcMar>
          </w:tcPr>
          <w:p>
            <w:pPr>
              <w:jc w:val="left"/>
            </w:pPr>
            <w:r>
              <w:rPr>
                <w:b w:val="false"/>
                <w:bCs w:val="false"/>
                <w:i w:val="false"/>
                <w:iCs w:val="false"/>
              </w:rPr>
              <w:t xml:space="preserve">Ganho total estimado (50.000 unidades)</w:t>
            </w:r>
          </w:p>
        </w:tc>
        <w:tc>
          <w:tcPr>
            <w:tcW w:type="dxa" w:w="4680"/>
            <w:tcMar>
              <w:top w:type="dxa" w:w="80"/>
              <w:left w:type="dxa" w:w="100"/>
              <w:bottom w:type="dxa" w:w="80"/>
              <w:right w:type="dxa" w:w="100"/>
            </w:tcMar>
          </w:tcPr>
          <w:p>
            <w:pPr>
              <w:jc w:val="right"/>
            </w:pPr>
            <w:r>
              <w:rPr>
                <w:b w:val="false"/>
                <w:bCs w:val="false"/>
                <w:i w:val="false"/>
                <w:iCs w:val="false"/>
              </w:rPr>
              <w:t xml:space="preserve">$ 8.680,00</w:t>
            </w:r>
          </w:p>
        </w:tc>
      </w:tr>
    </w:tbl>
    <w:p>
      <w:pPr>
        <w:spacing w:after="120"/>
      </w:pPr>
      <w:r>
        <w:rPr>
          <w:b/>
          <w:bCs/>
        </w:rPr>
        <w:t xml:space="preserve">A comparação correta NÃO é com o preço de tabela do pão francês</w:t>
      </w:r>
      <w:r>
        <w:t xml:space="preserve"> ($ 0,60), e sim com TODO o custo que varia com essa venda adicional: o custo variável unitário de produção (matéria-prima já com a quebra, MOD) MAIS a despesa variável unitária de venda (comissão e frete, que incidem sobre qualquer pão vendido, inclusive esse lote especial), pois os custos e despesas fixas já estão cobertos pela operação atual e não aumentam com esse lote adicional. Como a margem de contribuição da proposta especial é positiva, o lote deveria ser aceito, desde que seja realmente adicional (sem substituir vendas ao preço cheio para os mesmos clientes) e a capacidade instalada do forno comporte o volume extra sem gerar horas extras ou outros custos adicionais não considerados aqui.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2026-09-24T14:20:16.102Z</dcterms:created>
  <dcterms:modified xsi:type="dcterms:W3CDTF">2026-09-24T14:20:16.103Z</dcterms:modified>
</cp:coreProperties>
</file>

<file path=docProps/custom.xml><?xml version="1.0" encoding="utf-8"?>
<Properties xmlns="http://schemas.openxmlformats.org/officeDocument/2006/custom-properties" xmlns:vt="http://schemas.openxmlformats.org/officeDocument/2006/docPropsVTypes"/>
</file>