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Metalúrgica Portal do Cerrado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 por volume × por hora-máquina, custo unitário e DRE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Metalúrgica Portal do Cerrado Ltda., indústria de serralheria instalada em Sinop (MT), fabrica portões padronizados, grades padronizadas e estruturas metálicas sob encomenda para clientes da região. As três linhas usam a mesma máquina de corte a plasma, o mesmo galpão industrial e a mesma equipe de supervisão, mas consomem quantidades bem diferentes de horas de máquina por unidade — as estruturas sob encomenda, em especial, exigem muito mais tempo de corte por peça do que os itens padronizados. Estima-se que a fábrica permanecerá em operação por longo prazo. No último ano, foram produzidos e vendidos 800 portões, 1.200 grades e 40 projetos de estruturas sob encomenda, sem formação de estoque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Portões (800 un. × $ 180,00)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Grades (1.200 un. × $ 60,00)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Estruturas sob encomenda (40 un. × $ 1.800,00)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Portões (800 un. × $ 220,00)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176.000,00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Grades (1.200 un. × $ 90,00)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Estruturas sob encomenda (40 un. × $ 2.700,00)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 máquina de corte a plasma (equipamento $ 600.000,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serralheiro)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da máquina de corte a plasma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mão de obra direta (MOD) e o aço/insumos metálicos já estão apresentados como o total anual consumido por cada produto. Já a depreciação da máquina de corte a plasma, o aluguel do galpão, a supervisão e a manutenção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horas-máquina por unidade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Horas-máquina/un. (h)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$ 850,00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25,0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$ 8.500,00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Embalagem/proteção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metalúrgica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máquina de corte a plasma, aluguel do galpão, supervisão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às horas-máquina consumidas por cada produto (em vez do volume), e recalcule o lucro bruto de cada um. O resultado total da metalúrgica muda em relação à letra c? Por que o rateio por horas-máquina costuma ser considerado mais adequado do que o rateio por volume numa fábrica onde os produtos consomem tempos de máquina tão diferentes?</w:t>
      </w:r>
    </w:p>
    <w:p>
      <w:pPr>
        <w:spacing w:after="120"/>
      </w:pPr>
      <w:r>
        <w:t xml:space="preserve">e) Um fornecedor terceirizado propõe entregar prontas as 1.200 grades do ano por $ 310.000,00, sem que a metalúrgica precise mais produzi-las internamente (a máquina de corte, o galpão e a supervisão continuariam sendo usados para portões e estruturas sob encomenda). Um analista júnior comparou essa proposta com o custo unitário de produção das grades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Por que o custeio por absorção costuma acompanhar o custeio por ORDEM DE PRODUÇÃO nas estruturas sob encomenda (cada projeto acumulando seus próprios custos) e o custeio por PROCESSO nos portões e grades padronizados (custo médio por unidade)? Em que situações o custeio por absorção é exigido ou mais adequado, e por que ele não deve ser usado como base para decisões como a da letra e?</w:t>
      </w:r>
    </w:p>
    <w:p>
      <w:pPr>
        <w:spacing w:after="120"/>
      </w:pPr>
      <w:r>
        <w:t>g) Situação hipotética: suponha que, no mesmo ano, a metalúrgica tivesse produzido 20% a mais de portões e grades padronizados (as estruturas sob encomenda continuam sendo feitas só sob pedido e não formam estoque), mantendo as vendas, os preços, os custos diretos por unidade e o total dos custos indiretos de produção e das despesas. O excedente ficaria no estoque final.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2026-09-24T16:35:20.198Z</dcterms:created>
  <dcterms:modified xsi:type="dcterms:W3CDTF">2026-09-24T16:35:20.199Z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