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000000"/>
          <w:sz w:val="44"/>
        </w:rPr>
        <w:t>RELATÓRIO DE AUDITORIA TÉCNICA PRÉ V2 0</w:t>
      </w:r>
    </w:p>
    <w:p>
      <w:pPr>
        <w:spacing w:after="280"/>
        <w:jc w:val="center"/>
      </w:pPr>
      <w:r>
        <w:rPr>
          <w:i/>
        </w:rPr>
        <w:t>Plataforma de Gestão Comercial</w:t>
        <w:br/>
        <w:t>Auditoria de preparação para a V2.0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Informação</w:t>
            </w:r>
          </w:p>
        </w:tc>
        <w:tc>
          <w:tcPr>
            <w:tcW w:type="dxa" w:w="8424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Data da auditoria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23 de setembro de 2026</w:t>
            </w:r>
          </w:p>
        </w:tc>
      </w:tr>
      <w:tr>
        <w:tc>
          <w:tcPr>
            <w:tcW w:type="dxa" w:w="208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Escopo</w:t>
            </w:r>
          </w:p>
        </w:tc>
        <w:tc>
          <w:tcPr>
            <w:tcW w:type="dxa" w:w="842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Código-fonte, schema Drizzle, migrations, rotas, telas e documento técnico V2.0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Limites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Nenhuma alteração de código, banco, migration ou dado foi executada.</w:t>
            </w:r>
          </w:p>
        </w:tc>
      </w:tr>
      <w:tr>
        <w:tc>
          <w:tcPr>
            <w:tcW w:type="dxa" w:w="208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Conclusão</w:t>
            </w:r>
          </w:p>
        </w:tc>
        <w:tc>
          <w:tcPr>
            <w:tcW w:type="dxa" w:w="842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 V2.0 deve começar pela fundação de segurança, integridade, paginação e multi-parceiro.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color w:val="000000"/>
        </w:rPr>
        <w:t>1. Resumo executivo</w:t>
      </w:r>
    </w:p>
    <w:p>
      <w:pPr>
        <w:spacing w:after="120" w:line="276" w:lineRule="auto"/>
      </w:pPr>
      <w:r>
        <w:t>A base atual é reutilizável, mas ainda opera como uma aplicação de operação única. Há recursos úteis de PDVs, campanhas, assunção atômica de leads, importação, carteira, auditoria e PWA. A V2.0 exige que a fundação seja corrigida antes de expansão visual.</w:t>
      </w:r>
    </w:p>
    <w:p>
      <w:pPr>
        <w:spacing w:after="120" w:line="276" w:lineRule="auto"/>
      </w:pPr>
      <w:r>
        <w:t>Os pontos prioritários são remover a rotina destrutiva de inicialização, introduzir partnerId, implementar paginação no banco, consolidar autorização e transformar a timeline e os follow-ups em registros imutáveis e rastreáveis.</w:t>
      </w:r>
    </w:p>
    <w:p>
      <w:pPr>
        <w:spacing w:after="120" w:line="276" w:lineRule="auto"/>
      </w:pPr>
      <w:r>
        <w:t>O risco mais crítico confirmado é uma rotina de startup que pode apagar leads, tratativas, follow-ups e importações quando o marcador de manutenção não existir no banco.</w:t>
      </w:r>
    </w:p>
    <w:p>
      <w:pPr>
        <w:pStyle w:val="Heading1"/>
        <w:spacing w:before="320" w:after="120"/>
      </w:pPr>
      <w:r>
        <w:rPr>
          <w:color w:val="000000"/>
        </w:rPr>
        <w:t>2. Arquitetura atual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5256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Implementação atual</w:t>
            </w:r>
          </w:p>
        </w:tc>
        <w:tc>
          <w:tcPr>
            <w:tcW w:type="dxa" w:w="3744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Avaliação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React 19, Vite, TypeScript, Tailwind, shadcn/ui, Wouter, React Query e tRPC.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Base moderna e reaproveitável.</w:t>
            </w:r>
          </w:p>
        </w:tc>
      </w:tr>
      <w:tr>
        <w:tc>
          <w:tcPr>
            <w:tcW w:type="dxa" w:w="151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5256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Node.js, Express e tRPC.</w:t>
            </w:r>
          </w:p>
        </w:tc>
        <w:tc>
          <w:tcPr>
            <w:tcW w:type="dxa" w:w="374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Adequado; requer middleware de tenant centralizado.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Banco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MySQL/TiDB Cloud via mysql2.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Adequado; sem chaves estrangeiras e sem tenant scope.</w:t>
            </w:r>
          </w:p>
        </w:tc>
      </w:tr>
      <w:tr>
        <w:tc>
          <w:tcPr>
            <w:tcW w:type="dxa" w:w="151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5256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Drizzle ORM e migrations SQL.</w:t>
            </w:r>
          </w:p>
        </w:tc>
        <w:tc>
          <w:tcPr>
            <w:tcW w:type="dxa" w:w="374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Schema presente; relations ainda vazias.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Autenticação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Senha local com scrypt, JWT em cookie HTTP-only e infraestrutura OAuth legada.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Boa base; revisar sessão e inativação.</w:t>
            </w:r>
          </w:p>
        </w:tc>
      </w:tr>
      <w:tr>
        <w:tc>
          <w:tcPr>
            <w:tcW w:type="dxa" w:w="151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PWA</w:t>
            </w:r>
          </w:p>
        </w:tc>
        <w:tc>
          <w:tcPr>
            <w:tcW w:type="dxa" w:w="5256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Manifest e service worker com cache de shell.</w:t>
            </w:r>
          </w:p>
        </w:tc>
        <w:tc>
          <w:tcPr>
            <w:tcW w:type="dxa" w:w="374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Instalável; sem push ou processamento em segundo plano.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Helper S3/presigned URL e proxy Manus.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Não integrado a evidências; proxy sem autorização de registro.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color w:val="000000"/>
        </w:rPr>
        <w:t>3. Banco de dados atual</w:t>
      </w:r>
    </w:p>
    <w:p>
      <w:pPr>
        <w:spacing w:after="120" w:line="276" w:lineRule="auto"/>
      </w:pPr>
      <w:r>
        <w:t>Tabelas atuais: users, pdvs, user_pdvs, seller_profiles, campaigns, campaign_pdvs, leads, lead_activities, lead_imports, follow_ups, audit_logs, notifications, password_reset_requests e maintenance_jobs. As relações são lógicas, pois o schema não aplica foreign keys.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Entidade V2</w:t>
            </w:r>
          </w:p>
        </w:tc>
        <w:tc>
          <w:tcPr>
            <w:tcW w:type="dxa" w:w="2880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Situação atual</w:t>
            </w:r>
          </w:p>
        </w:tc>
        <w:tc>
          <w:tcPr>
            <w:tcW w:type="dxa" w:w="4752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Ação necessária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partners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Inexistente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partner_settings</w:t>
            </w:r>
          </w:p>
        </w:tc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Inexistente</w:t>
            </w:r>
          </w:p>
        </w:tc>
        <w:tc>
          <w:tcPr>
            <w:tcW w:type="dxa" w:w="475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Existe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Evoluir para identidade global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user_partners</w:t>
            </w:r>
          </w:p>
        </w:tc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Inexistente</w:t>
            </w:r>
          </w:p>
        </w:tc>
        <w:tc>
          <w:tcPr>
            <w:tcW w:type="dxa" w:w="475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pdvs e user_pdvs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Existem parcialmente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Adicionar isolamento de parceiro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campaigns e campaign_pdvs</w:t>
            </w:r>
          </w:p>
        </w:tc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Existem parcialmente</w:t>
            </w:r>
          </w:p>
        </w:tc>
        <w:tc>
          <w:tcPr>
            <w:tcW w:type="dxa" w:w="475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Soft delete, partnerId e operação navegável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leads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Existe parcialmente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Tenant, paginação e campos configuráveis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lead_activities</w:t>
            </w:r>
          </w:p>
        </w:tc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Existe parcialmente</w:t>
            </w:r>
          </w:p>
        </w:tc>
        <w:tc>
          <w:tcPr>
            <w:tcW w:type="dxa" w:w="475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Timeline imutável e dados estruturados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lead_evidences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Inexistente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follow_ups</w:t>
            </w:r>
          </w:p>
        </w:tc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Existe parcialmente</w:t>
            </w:r>
          </w:p>
        </w:tc>
        <w:tc>
          <w:tcPr>
            <w:tcW w:type="dxa" w:w="475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Estados, conclusão e reagendamento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Somente schema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Implementar fluxo operacional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Existe parcialmente</w:t>
            </w:r>
          </w:p>
        </w:tc>
        <w:tc>
          <w:tcPr>
            <w:tcW w:type="dxa" w:w="475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Adicionar parceiro e contexto completo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Modelos e lotes de importação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Inexistentes/parciais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modelo, versão e lote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Campos personalizados</w:t>
            </w:r>
          </w:p>
        </w:tc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extraData textual</w:t>
            </w:r>
          </w:p>
        </w:tc>
        <w:tc>
          <w:tcPr>
            <w:tcW w:type="dxa" w:w="475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Criar definições configuráveis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color w:val="000000"/>
        </w:rPr>
        <w:t>4. Funcionalidades existentes que podem ser reaproveitadas</w:t>
      </w:r>
    </w:p>
    <w:p>
      <w:pPr>
        <w:pStyle w:val="ListBullet"/>
        <w:spacing w:after="40"/>
      </w:pPr>
      <w:r>
        <w:t>Assunção atômica de lead por atualização condicional de assignedTo.</w:t>
      </w:r>
    </w:p>
    <w:p>
      <w:pPr>
        <w:pStyle w:val="ListBullet"/>
        <w:spacing w:after="40"/>
      </w:pPr>
      <w:r>
        <w:t>Vínculo de usuários a PDVs e campanhas com múltiplos PDVs.</w:t>
      </w:r>
    </w:p>
    <w:p>
      <w:pPr>
        <w:pStyle w:val="ListBullet"/>
        <w:spacing w:after="40"/>
      </w:pPr>
      <w:r>
        <w:t>Congelamento de campanha para bloquear novas importações.</w:t>
      </w:r>
    </w:p>
    <w:p>
      <w:pPr>
        <w:pStyle w:val="ListBullet"/>
        <w:spacing w:after="40"/>
      </w:pPr>
      <w:r>
        <w:t>Importação de CSV, XLS e XLSX com prévia e normalização de telefone.</w:t>
      </w:r>
    </w:p>
    <w:p>
      <w:pPr>
        <w:pStyle w:val="ListBullet"/>
        <w:spacing w:after="40"/>
      </w:pPr>
      <w:r>
        <w:t>Preservação de campos extras em leads.extraData.</w:t>
      </w:r>
    </w:p>
    <w:p>
      <w:pPr>
        <w:pStyle w:val="ListBullet"/>
        <w:spacing w:after="40"/>
      </w:pPr>
      <w:r>
        <w:t>Hash seguro de senha, trilha de auditoria, PWA e layout responsivo.</w:t>
      </w:r>
    </w:p>
    <w:p>
      <w:pPr>
        <w:pStyle w:val="Heading1"/>
        <w:spacing w:before="320" w:after="120"/>
      </w:pPr>
      <w:r>
        <w:rPr>
          <w:color w:val="000000"/>
        </w:rPr>
        <w:t>5. Bugs confirmados</w:t>
      </w:r>
    </w:p>
    <w:p>
      <w:pPr>
        <w:pStyle w:val="Heading2"/>
        <w:spacing w:before="200" w:after="120"/>
      </w:pPr>
      <w:r>
        <w:rPr>
          <w:color w:val="000000"/>
        </w:rPr>
        <w:t>Histórico de tratativas</w:t>
      </w:r>
    </w:p>
    <w:p>
      <w:pPr>
        <w:spacing w:after="120" w:line="276" w:lineRule="auto"/>
      </w:pPr>
      <w:r>
        <w:t>O backend insere atividades em lead_activities, mas a tela de leads consulta leads.list e não chama leads.get, que é o endpoint que devolve activities. Assim, a timeline não é exibida. Além disso, uma observação sem canal é registrada como status, o status anterior não é guardado e a atualização do lead, a atividade e o follow-up não estão na mesma transação.</w:t>
      </w:r>
    </w:p>
    <w:p>
      <w:pPr>
        <w:pStyle w:val="Heading2"/>
        <w:spacing w:before="200" w:after="120"/>
      </w:pPr>
      <w:r>
        <w:rPr>
          <w:color w:val="000000"/>
        </w:rPr>
        <w:t>Follow-up</w:t>
      </w:r>
    </w:p>
    <w:p>
      <w:pPr>
        <w:spacing w:after="120" w:line="276" w:lineRule="auto"/>
      </w:pPr>
      <w:r>
        <w:t>follow_ups armazena dueAt, completedAt, createdBy e note. Porém não há operações para concluir, cancelar ou reagendar, nem estados próprios. A data atual de retorno fica também em leads.nextFollowUpAt e é zerada quando novo tratamento é salvo sem data. A exportação repete a data atual do lead, não a data histórica da tratativa que originou o follow-up.</w:t>
      </w:r>
    </w:p>
    <w:p>
      <w:pPr>
        <w:pStyle w:val="Heading2"/>
        <w:spacing w:before="200" w:after="120"/>
      </w:pPr>
      <w:r>
        <w:rPr>
          <w:color w:val="000000"/>
        </w:rPr>
        <w:t>Usuários</w:t>
      </w:r>
    </w:p>
    <w:p>
      <w:pPr>
        <w:spacing w:after="120" w:line="276" w:lineRule="auto"/>
      </w:pPr>
      <w:r>
        <w:t>O backend possui users.updateAccess capaz de definir isActive como true. Entretanto a tela rotula o usuário inativo como Excluído, desabilita seus controles e não oferece ação Reativar. A reativação existe na API, mas não no fluxo operacional. Também foi confirmado que adminProcedure não aplica a validação de isActive.</w:t>
      </w:r>
    </w:p>
    <w:p>
      <w:pPr>
        <w:pStyle w:val="Heading2"/>
        <w:spacing w:before="200" w:after="120"/>
      </w:pPr>
      <w:r>
        <w:rPr>
          <w:color w:val="000000"/>
        </w:rPr>
        <w:t>Campanhas e importação</w:t>
      </w:r>
    </w:p>
    <w:p>
      <w:pPr>
        <w:spacing w:after="120" w:line="276" w:lineRule="auto"/>
      </w:pPr>
      <w:r>
        <w:t>A campanha possui PDVs autorizados e importação vinculada por campaignId. Contudo, a tela de campanhas não oferece navegação para seus leads, o histórico de importações não possui campaignId próprio e a exclusão de campanha apaga fisicamente campanha, leads, atividades e follow-ups. O importador usa uma lista fixa de aliases de cabeçalho; campos não reconhecidos são apenas copiados para extraData.</w:t>
      </w:r>
    </w:p>
    <w:p>
      <w:pPr>
        <w:pStyle w:val="Heading2"/>
        <w:spacing w:before="200" w:after="120"/>
      </w:pPr>
      <w:r>
        <w:rPr>
          <w:color w:val="000000"/>
        </w:rPr>
        <w:t>Paginação</w:t>
      </w:r>
    </w:p>
    <w:p>
      <w:pPr>
        <w:spacing w:after="120" w:line="276" w:lineRule="auto"/>
      </w:pPr>
      <w:r>
        <w:t>Foi confirmada limitação em getVisibleLeads: a consulta usa limit(500). getVisibleLeadsPage busca esses mesmos 500 registros e depois aplica slice em memória. Portanto total, dashboard, produtividade e páginas após o limite podem ficar incompletos.</w:t>
      </w:r>
    </w:p>
    <w:p>
      <w:pPr>
        <w:pStyle w:val="Heading1"/>
        <w:spacing w:before="320" w:after="120"/>
      </w:pPr>
      <w:r>
        <w:rPr>
          <w:color w:val="000000"/>
        </w:rPr>
        <w:t>6. Riscos técnicos</w:t>
      </w:r>
    </w:p>
    <w:p>
      <w:pPr>
        <w:pStyle w:val="ListBullet"/>
        <w:spacing w:after="40"/>
      </w:pPr>
      <w:r>
        <w:t>Crítico: runRequestedLeadCleanup executa DELETE em follow_ups, lead_activities, lead_imports e leads durante inicialização se o marcador não existir.</w:t>
      </w:r>
    </w:p>
    <w:p>
      <w:pPr>
        <w:pStyle w:val="ListBullet"/>
        <w:spacing w:after="40"/>
      </w:pPr>
      <w:r>
        <w:t>Alto: schemaBootstrap executa DDL no startup, coexistindo com migrations Drizzle.</w:t>
      </w:r>
    </w:p>
    <w:p>
      <w:pPr>
        <w:pStyle w:val="ListBullet"/>
        <w:spacing w:after="40"/>
      </w:pPr>
      <w:r>
        <w:t>Alto: deleteCampaign remove registros operacionais fisicamente, contrariando retenção histórica da V2.0.</w:t>
      </w:r>
    </w:p>
    <w:p>
      <w:pPr>
        <w:pStyle w:val="ListBullet"/>
        <w:spacing w:after="40"/>
      </w:pPr>
      <w:r>
        <w:t>Alto: o proxy de storage gera redirecionamento assinado por chave sem validar usuário, parceiro ou evidência.</w:t>
      </w:r>
    </w:p>
    <w:p>
      <w:pPr>
        <w:pStyle w:val="ListBullet"/>
        <w:spacing w:after="40"/>
      </w:pPr>
      <w:r>
        <w:t>Médio: pdvs.list expõe todos os PDVs ativos a perfis não administrativos.</w:t>
      </w:r>
    </w:p>
    <w:p>
      <w:pPr>
        <w:pStyle w:val="ListBullet"/>
        <w:spacing w:after="40"/>
      </w:pPr>
      <w:r>
        <w:t>Médio: sem foreign keys, alterações podem deixar relações inconsistentes.</w:t>
      </w:r>
    </w:p>
    <w:p>
      <w:pPr>
        <w:pStyle w:val="Heading1"/>
        <w:spacing w:before="320" w:after="120"/>
      </w:pPr>
      <w:r>
        <w:rPr>
          <w:color w:val="000000"/>
        </w:rPr>
        <w:t>7. Diferenças entre V1 e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3672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V1 atual</w:t>
            </w:r>
          </w:p>
        </w:tc>
        <w:tc>
          <w:tcPr>
            <w:tcW w:type="dxa" w:w="4824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V2.0 alvo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Escopo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PDV e papel global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Partner/tenant, papel por parceiro e PDV</w:t>
            </w:r>
          </w:p>
        </w:tc>
      </w:tr>
      <w:tr>
        <w:tc>
          <w:tcPr>
            <w:tcW w:type="dxa" w:w="2016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Tratativas</w:t>
            </w:r>
          </w:p>
        </w:tc>
        <w:tc>
          <w:tcPr>
            <w:tcW w:type="dxa" w:w="367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Atividade parcial sem timeline visual</w:t>
            </w:r>
          </w:p>
        </w:tc>
        <w:tc>
          <w:tcPr>
            <w:tcW w:type="dxa" w:w="482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Timeline imutável, evidência e regras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Follow-up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Agenda parcial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Ciclo completo com alerta e estados</w:t>
            </w:r>
          </w:p>
        </w:tc>
      </w:tr>
      <w:tr>
        <w:tc>
          <w:tcPr>
            <w:tcW w:type="dxa" w:w="2016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Campanhas</w:t>
            </w:r>
          </w:p>
        </w:tc>
        <w:tc>
          <w:tcPr>
            <w:tcW w:type="dxa" w:w="367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CRUD e importação separada</w:t>
            </w:r>
          </w:p>
        </w:tc>
        <w:tc>
          <w:tcPr>
            <w:tcW w:type="dxa" w:w="482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Fluxo operacional navegável e histórico de cargas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Importação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Aliases de cabeçalho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Modelos versionados e mapeamento configurável</w:t>
            </w:r>
          </w:p>
        </w:tc>
      </w:tr>
      <w:tr>
        <w:tc>
          <w:tcPr>
            <w:tcW w:type="dxa" w:w="2016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Exportação</w:t>
            </w:r>
          </w:p>
        </w:tc>
        <w:tc>
          <w:tcPr>
            <w:tcW w:type="dxa" w:w="367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Fluxo pontual</w:t>
            </w:r>
          </w:p>
        </w:tc>
        <w:tc>
          <w:tcPr>
            <w:tcW w:type="dxa" w:w="482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Central unificada por domínio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Escala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Recorte em 500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Paginação SQL e índices compostos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color w:val="000000"/>
        </w:rPr>
        <w:t>8. Alterações necessárias no banco</w:t>
      </w:r>
    </w:p>
    <w:p>
      <w:pPr>
        <w:pStyle w:val="ListBullet"/>
        <w:spacing w:after="40"/>
      </w:pPr>
      <w:r>
        <w:t>Criar partners, partner_settings e user_partners.</w:t>
      </w:r>
    </w:p>
    <w:p>
      <w:pPr>
        <w:pStyle w:val="ListBullet"/>
        <w:spacing w:after="40"/>
      </w:pPr>
      <w:r>
        <w:t>Adicionar partnerId indexado a PDVs, campanhas, leads, atividades, follow-ups, notificações, auditoria, modelos e lotes de importação.</w:t>
      </w:r>
    </w:p>
    <w:p>
      <w:pPr>
        <w:pStyle w:val="ListBullet"/>
        <w:spacing w:after="40"/>
      </w:pPr>
      <w:r>
        <w:t>Criar lead_evidences e relacioná-la à atividade específica.</w:t>
      </w:r>
    </w:p>
    <w:p>
      <w:pPr>
        <w:pStyle w:val="ListBullet"/>
        <w:spacing w:after="40"/>
      </w:pPr>
      <w:r>
        <w:t>Evoluir follow_ups com status, conclusão, cancelamento, reagendamento e atividade de origem.</w:t>
      </w:r>
    </w:p>
    <w:p>
      <w:pPr>
        <w:pStyle w:val="ListBullet"/>
        <w:spacing w:after="40"/>
      </w:pPr>
      <w:r>
        <w:t>Criar definições de campos personalizados, opções, modelos de importação, versões e lotes.</w:t>
      </w:r>
    </w:p>
    <w:p>
      <w:pPr>
        <w:pStyle w:val="ListBullet"/>
        <w:spacing w:after="40"/>
      </w:pPr>
      <w:r>
        <w:t>Adotar soft delete para campanhas e outras entidades críticas com histórico.</w:t>
      </w:r>
    </w:p>
    <w:p>
      <w:pPr>
        <w:pStyle w:val="ListBullet"/>
        <w:spacing w:after="40"/>
      </w:pPr>
      <w:r>
        <w:t>Adicionar índices compostos por partnerId, pdvId, campaignId, assignedTo, status, dueAt e createdAt.</w:t>
      </w:r>
    </w:p>
    <w:p>
      <w:pPr>
        <w:pStyle w:val="Heading1"/>
        <w:spacing w:before="320" w:after="120"/>
      </w:pPr>
      <w:r>
        <w:rPr>
          <w:color w:val="000000"/>
        </w:rPr>
        <w:t>9. Alterações necessárias no backend</w:t>
      </w:r>
    </w:p>
    <w:p>
      <w:pPr>
        <w:pStyle w:val="ListBullet"/>
        <w:spacing w:after="40"/>
      </w:pPr>
      <w:r>
        <w:t>Criar middleware de contexto de parceiro e exigir tenant scope em toda query e mutação.</w:t>
      </w:r>
    </w:p>
    <w:p>
      <w:pPr>
        <w:pStyle w:val="ListBullet"/>
        <w:spacing w:after="40"/>
      </w:pPr>
      <w:r>
        <w:t>Substituir buscas por ID simples por busca composta com partnerId.</w:t>
      </w:r>
    </w:p>
    <w:p>
      <w:pPr>
        <w:pStyle w:val="ListBullet"/>
        <w:spacing w:after="40"/>
      </w:pPr>
      <w:r>
        <w:t>Remover cleanup e DDL do startup; manter migrations incrementais como fonte única do schema.</w:t>
      </w:r>
    </w:p>
    <w:p>
      <w:pPr>
        <w:pStyle w:val="ListBullet"/>
        <w:spacing w:after="40"/>
      </w:pPr>
      <w:r>
        <w:t>Transformar tratamento em criação transacional de evento imutável.</w:t>
      </w:r>
    </w:p>
    <w:p>
      <w:pPr>
        <w:pStyle w:val="ListBullet"/>
        <w:spacing w:after="40"/>
      </w:pPr>
      <w:r>
        <w:t>Criar comandos próprios para concluir, cancelar e reagendar follow-up.</w:t>
      </w:r>
    </w:p>
    <w:p>
      <w:pPr>
        <w:pStyle w:val="ListBullet"/>
        <w:spacing w:after="40"/>
      </w:pPr>
      <w:r>
        <w:t>Implementar paginação SQL, contagem separada e filtros indexados.</w:t>
      </w:r>
    </w:p>
    <w:p>
      <w:pPr>
        <w:pStyle w:val="ListBullet"/>
        <w:spacing w:after="40"/>
      </w:pPr>
      <w:r>
        <w:t>Autorizar arquivos por registro, parceiro, campanha, PDV e carteira.</w:t>
      </w:r>
    </w:p>
    <w:p>
      <w:pPr>
        <w:pStyle w:val="Heading1"/>
        <w:spacing w:before="320" w:after="120"/>
      </w:pPr>
      <w:r>
        <w:rPr>
          <w:color w:val="000000"/>
        </w:rPr>
        <w:t>10. Alterações necessárias no frontend</w:t>
      </w:r>
    </w:p>
    <w:p>
      <w:pPr>
        <w:pStyle w:val="ListBullet"/>
        <w:spacing w:after="40"/>
      </w:pPr>
      <w:r>
        <w:t>Seletor explícito de parceiro para superadmin.</w:t>
      </w:r>
    </w:p>
    <w:p>
      <w:pPr>
        <w:pStyle w:val="ListBullet"/>
        <w:spacing w:after="40"/>
      </w:pPr>
      <w:r>
        <w:t>Ação Reativar para usuário inativo e status operacional correto.</w:t>
      </w:r>
    </w:p>
    <w:p>
      <w:pPr>
        <w:pStyle w:val="ListBullet"/>
        <w:spacing w:after="40"/>
      </w:pPr>
      <w:r>
        <w:t>Visões reais de Disponíveis, Minha carteira e Todos.</w:t>
      </w:r>
    </w:p>
    <w:p>
      <w:pPr>
        <w:pStyle w:val="ListBullet"/>
        <w:spacing w:after="40"/>
      </w:pPr>
      <w:r>
        <w:t>Timeline de lead com tratativas, evidências e follow-ups.</w:t>
      </w:r>
    </w:p>
    <w:p>
      <w:pPr>
        <w:pStyle w:val="ListBullet"/>
        <w:spacing w:after="40"/>
      </w:pPr>
      <w:r>
        <w:t>Agenda de follow-ups separando vencidos, hoje, próximos e concluídos.</w:t>
      </w:r>
    </w:p>
    <w:p>
      <w:pPr>
        <w:pStyle w:val="ListBullet"/>
        <w:spacing w:after="40"/>
      </w:pPr>
      <w:r>
        <w:t>Página operacional da campanha com leads, filtros, distribuição e histórico de importações.</w:t>
      </w:r>
    </w:p>
    <w:p>
      <w:pPr>
        <w:pStyle w:val="ListBullet"/>
        <w:spacing w:after="40"/>
      </w:pPr>
      <w:r>
        <w:t>Central de exportações e tabelas paginadas com filtros preservados na URL.</w:t>
      </w:r>
    </w:p>
    <w:p>
      <w:pPr>
        <w:pStyle w:val="Heading1"/>
        <w:spacing w:before="320" w:after="120"/>
      </w:pPr>
      <w:r>
        <w:rPr>
          <w:color w:val="000000"/>
        </w:rPr>
        <w:t>11. Estratégia de multi-parceiro</w:t>
      </w:r>
    </w:p>
    <w:p>
      <w:pPr>
        <w:spacing w:after="120" w:line="276" w:lineRule="auto"/>
      </w:pPr>
      <w:r>
        <w:t>users deve representar identidade global. user_partners deve representar vínculo, papel e status dentro de cada parceiro. O partnerId deve estar diretamente nas entidades operacionais de alta consulta, ainda que também possa ser inferido por joins.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632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Identidade e autenticação global.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user_partners</w:t>
            </w:r>
          </w:p>
        </w:tc>
        <w:tc>
          <w:tcPr>
            <w:tcW w:type="dxa" w:w="763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Papel, status e escopo do usuário por parceiro.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partners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Tenant e configurações da rede/operação.</w:t>
            </w:r>
          </w:p>
        </w:tc>
      </w:tr>
      <w:tr>
        <w:tc>
          <w:tcPr>
            <w:tcW w:type="dxa" w:w="288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pdvs e campaigns</w:t>
            </w:r>
          </w:p>
        </w:tc>
        <w:tc>
          <w:tcPr>
            <w:tcW w:type="dxa" w:w="763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Entidades operacionais pertencentes a um parceiro.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leads e derivados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Dados sempre filtrados por partnerId e escopo permitido.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Cada requisição deverá validar identidade ativa, vínculo ativo com parceiro, papel, escopo de PDV/campanha/carteira e partnerId do registro alvo.</w:t>
      </w:r>
    </w:p>
    <w:p>
      <w:pPr>
        <w:pStyle w:val="Heading1"/>
        <w:spacing w:before="320" w:after="120"/>
      </w:pPr>
      <w:r>
        <w:rPr>
          <w:color w:val="000000"/>
        </w:rPr>
        <w:t>12. Estratégia de migração dos dados existentes</w:t>
      </w:r>
    </w:p>
    <w:p>
      <w:pPr>
        <w:pStyle w:val="ListBullet"/>
        <w:spacing w:after="40"/>
      </w:pPr>
      <w:r>
        <w:t>Criar backup e release estável da V1 antes de qualquer migration.</w:t>
      </w:r>
    </w:p>
    <w:p>
      <w:pPr>
        <w:pStyle w:val="ListBullet"/>
        <w:spacing w:after="40"/>
      </w:pPr>
      <w:r>
        <w:t>Criar um parceiro legado e associar todos os dados atuais a ele.</w:t>
      </w:r>
    </w:p>
    <w:p>
      <w:pPr>
        <w:pStyle w:val="ListBullet"/>
        <w:spacing w:after="40"/>
      </w:pPr>
      <w:r>
        <w:t>Migrar papéis atuais para user_partners e preservar IDs e timestamps quando possível.</w:t>
      </w:r>
    </w:p>
    <w:p>
      <w:pPr>
        <w:pStyle w:val="ListBullet"/>
        <w:spacing w:after="40"/>
      </w:pPr>
      <w:r>
        <w:t>Manter leads, extraData, atividades, follow-ups e auditoria existentes.</w:t>
      </w:r>
    </w:p>
    <w:p>
      <w:pPr>
        <w:pStyle w:val="ListBullet"/>
        <w:spacing w:after="40"/>
      </w:pPr>
      <w:r>
        <w:t>Converter seller_profiles em dado legado; user_pdvs passa a ser a fonte de autorização.</w:t>
      </w:r>
    </w:p>
    <w:p>
      <w:pPr>
        <w:pStyle w:val="ListBullet"/>
        <w:spacing w:after="40"/>
      </w:pPr>
      <w:r>
        <w:t>Classificar importações antigas como legado quando não houver campanha/modelo recuperável.</w:t>
      </w:r>
    </w:p>
    <w:p>
      <w:pPr>
        <w:pStyle w:val="ListBullet"/>
        <w:spacing w:after="40"/>
      </w:pPr>
      <w:r>
        <w:t>Executar primeiro em cópia da base e validar contagens, relações e acessos antes do corte.</w:t>
      </w:r>
    </w:p>
    <w:p>
      <w:pPr>
        <w:pStyle w:val="Heading1"/>
        <w:spacing w:before="320" w:after="120"/>
      </w:pPr>
      <w:r>
        <w:rPr>
          <w:color w:val="000000"/>
        </w:rPr>
        <w:t>13. Testes necessários</w:t>
      </w:r>
    </w:p>
    <w:p>
      <w:pPr>
        <w:pStyle w:val="ListBullet"/>
        <w:spacing w:after="40"/>
      </w:pPr>
      <w:r>
        <w:t>Isolamento entre parceiros, inclusive tentativa de manipular IDs e rotas.</w:t>
      </w:r>
    </w:p>
    <w:p>
      <w:pPr>
        <w:pStyle w:val="ListBullet"/>
        <w:spacing w:after="40"/>
      </w:pPr>
      <w:r>
        <w:t>Permissões por papel, parceiro, PDV, campanha e carteira.</w:t>
      </w:r>
    </w:p>
    <w:p>
      <w:pPr>
        <w:pStyle w:val="ListBullet"/>
        <w:spacing w:after="40"/>
      </w:pPr>
      <w:r>
        <w:t>Administrador inativo, inativação e reativação de usuário.</w:t>
      </w:r>
    </w:p>
    <w:p>
      <w:pPr>
        <w:pStyle w:val="ListBullet"/>
        <w:spacing w:after="40"/>
      </w:pPr>
      <w:r>
        <w:t>Concorrência de assunção do mesmo lead.</w:t>
      </w:r>
    </w:p>
    <w:p>
      <w:pPr>
        <w:pStyle w:val="ListBullet"/>
        <w:spacing w:after="40"/>
      </w:pPr>
      <w:r>
        <w:t>Timeline após múltiplas tratativas e reload.</w:t>
      </w:r>
    </w:p>
    <w:p>
      <w:pPr>
        <w:pStyle w:val="ListBullet"/>
        <w:spacing w:after="40"/>
      </w:pPr>
      <w:r>
        <w:t>Follow-up vencido, hoje, concluído, cancelado e reagendado.</w:t>
      </w:r>
    </w:p>
    <w:p>
      <w:pPr>
        <w:pStyle w:val="ListBullet"/>
        <w:spacing w:after="40"/>
      </w:pPr>
      <w:r>
        <w:t>Upload e acesso autorizado a evidências.</w:t>
      </w:r>
    </w:p>
    <w:p>
      <w:pPr>
        <w:pStyle w:val="ListBullet"/>
        <w:spacing w:after="40"/>
      </w:pPr>
      <w:r>
        <w:t>Importação com cabeçalhos distintos, duplicidade e atualização controlada.</w:t>
      </w:r>
    </w:p>
    <w:p>
      <w:pPr>
        <w:pStyle w:val="ListBullet"/>
        <w:spacing w:after="40"/>
      </w:pPr>
      <w:r>
        <w:t>Paginação com milhares de leads, exportações filtradas e migração de dados V1.</w:t>
      </w:r>
    </w:p>
    <w:p>
      <w:pPr>
        <w:pStyle w:val="Heading1"/>
        <w:spacing w:before="320" w:after="120"/>
      </w:pPr>
      <w:r>
        <w:rPr>
          <w:color w:val="000000"/>
        </w:rPr>
        <w:t>14. Dependências e bloqueadores</w:t>
      </w:r>
    </w:p>
    <w:p>
      <w:pPr>
        <w:pStyle w:val="ListBullet"/>
        <w:spacing w:after="40"/>
      </w:pPr>
      <w:r>
        <w:t>Definição de storage, limites e retenção de evidências.</w:t>
      </w:r>
    </w:p>
    <w:p>
      <w:pPr>
        <w:pStyle w:val="ListBullet"/>
        <w:spacing w:after="40"/>
      </w:pPr>
      <w:r>
        <w:t>Definição de worker/cron/fila para alertas confiáveis; Render Free não deve ser a única base da agenda.</w:t>
      </w:r>
    </w:p>
    <w:p>
      <w:pPr>
        <w:pStyle w:val="ListBullet"/>
        <w:spacing w:after="40"/>
      </w:pPr>
      <w:r>
        <w:t>Política de duplicidade por parceiro e modelo final dos campos personalizados.</w:t>
      </w:r>
    </w:p>
    <w:p>
      <w:pPr>
        <w:pStyle w:val="ListBullet"/>
        <w:spacing w:after="40"/>
      </w:pPr>
      <w:r>
        <w:t>Política de retenção para auditoria e evidências.</w:t>
      </w:r>
    </w:p>
    <w:p>
      <w:pPr>
        <w:pStyle w:val="ListBullet"/>
        <w:spacing w:after="40"/>
      </w:pPr>
      <w:r>
        <w:t>Backup verificável e ambiente de homologação com cópia da base.</w:t>
      </w:r>
    </w:p>
    <w:p>
      <w:pPr>
        <w:pStyle w:val="ListBullet"/>
        <w:spacing w:after="40"/>
      </w:pPr>
      <w:r>
        <w:t>Definição formal de superadmin e partner admin.</w:t>
      </w:r>
    </w:p>
    <w:p>
      <w:pPr>
        <w:pStyle w:val="Heading1"/>
        <w:spacing w:before="320" w:after="120"/>
      </w:pPr>
      <w:r>
        <w:rPr>
          <w:color w:val="000000"/>
        </w:rPr>
        <w:t>15. Ordem técnica recomendada de implementação</w:t>
      </w:r>
    </w:p>
    <w:p>
      <w:pPr>
        <w:pStyle w:val="ListNumber"/>
        <w:spacing w:after="40"/>
      </w:pPr>
      <w:r>
        <w:t>Backup, release estável e remoção da rotina destrutiva.</w:t>
      </w:r>
    </w:p>
    <w:p>
      <w:pPr>
        <w:pStyle w:val="ListNumber"/>
        <w:spacing w:after="40"/>
      </w:pPr>
      <w:r>
        <w:t>Revisão de autorização e bloqueio de administradores inativos.</w:t>
      </w:r>
    </w:p>
    <w:p>
      <w:pPr>
        <w:pStyle w:val="ListNumber"/>
        <w:spacing w:after="40"/>
      </w:pPr>
      <w:r>
        <w:t>Migrations da fundação multi-parceiro.</w:t>
      </w:r>
    </w:p>
    <w:p>
      <w:pPr>
        <w:pStyle w:val="ListNumber"/>
        <w:spacing w:after="40"/>
      </w:pPr>
      <w:r>
        <w:t>Migração da V1 para parceiro legado.</w:t>
      </w:r>
    </w:p>
    <w:p>
      <w:pPr>
        <w:pStyle w:val="ListNumber"/>
        <w:spacing w:after="40"/>
      </w:pPr>
      <w:r>
        <w:t>Paginação SQL, índices e tenant scope.</w:t>
      </w:r>
    </w:p>
    <w:p>
      <w:pPr>
        <w:pStyle w:val="ListNumber"/>
        <w:spacing w:after="40"/>
      </w:pPr>
      <w:r>
        <w:t>Usuários ativos/inativos, PDVs e papéis por parceiro.</w:t>
      </w:r>
    </w:p>
    <w:p>
      <w:pPr>
        <w:pStyle w:val="ListNumber"/>
        <w:spacing w:after="40"/>
      </w:pPr>
      <w:r>
        <w:t>Timeline imutável, tratativas e evidências.</w:t>
      </w:r>
    </w:p>
    <w:p>
      <w:pPr>
        <w:pStyle w:val="ListNumber"/>
        <w:spacing w:after="40"/>
      </w:pPr>
      <w:r>
        <w:t>Follow-ups completos e notificações internas.</w:t>
      </w:r>
    </w:p>
    <w:p>
      <w:pPr>
        <w:pStyle w:val="ListNumber"/>
        <w:spacing w:after="40"/>
      </w:pPr>
      <w:r>
        <w:t>Campanha operacional e histórico de importação.</w:t>
      </w:r>
    </w:p>
    <w:p>
      <w:pPr>
        <w:pStyle w:val="ListNumber"/>
        <w:spacing w:after="40"/>
      </w:pPr>
      <w:r>
        <w:t>Motor de importação configurável e campos personalizados.</w:t>
      </w:r>
    </w:p>
    <w:p>
      <w:pPr>
        <w:pStyle w:val="ListNumber"/>
        <w:spacing w:after="40"/>
      </w:pPr>
      <w:r>
        <w:t>Central de exportações, analytics e automações.</w:t>
      </w:r>
    </w:p>
    <w:p>
      <w:pPr>
        <w:pStyle w:val="Heading1"/>
        <w:spacing w:before="320" w:after="120"/>
      </w:pPr>
      <w:r>
        <w:rPr>
          <w:color w:val="000000"/>
        </w:rPr>
        <w:t>Matriz consolidada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84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232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Situação atual</w:t>
            </w:r>
          </w:p>
        </w:tc>
        <w:tc>
          <w:tcPr>
            <w:tcW w:type="dxa" w:w="2592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V2 necessária</w:t>
            </w:r>
          </w:p>
        </w:tc>
        <w:tc>
          <w:tcPr>
            <w:tcW w:type="dxa" w:w="1008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008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1800"/>
            <w:shd w:fill="163E4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Dependências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Multi-parceiro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Inexistente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Tenant, partnerId e papéis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Crítico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Migração legado</w:t>
            </w:r>
          </w:p>
        </w:tc>
      </w:tr>
      <w:tr>
        <w:tc>
          <w:tcPr>
            <w:tcW w:type="dxa" w:w="158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Startup</w:t>
            </w:r>
          </w:p>
        </w:tc>
        <w:tc>
          <w:tcPr>
            <w:tcW w:type="dxa" w:w="223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DDL e cleanup</w:t>
            </w:r>
          </w:p>
        </w:tc>
        <w:tc>
          <w:tcPr>
            <w:tcW w:type="dxa" w:w="259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Migrations controladas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Crítico</w:t>
            </w:r>
          </w:p>
        </w:tc>
        <w:tc>
          <w:tcPr>
            <w:tcW w:type="dxa" w:w="180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Backup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Leads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Base funcional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Paginação e timeline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Tenant scope</w:t>
            </w:r>
          </w:p>
        </w:tc>
      </w:tr>
      <w:tr>
        <w:tc>
          <w:tcPr>
            <w:tcW w:type="dxa" w:w="158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Tratativas</w:t>
            </w:r>
          </w:p>
        </w:tc>
        <w:tc>
          <w:tcPr>
            <w:tcW w:type="dxa" w:w="223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Atividade parcial</w:t>
            </w:r>
          </w:p>
        </w:tc>
        <w:tc>
          <w:tcPr>
            <w:tcW w:type="dxa" w:w="259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Eventos imutáveis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80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Schema de atividades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Follow-ups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Agenda parcial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Estados, ações e alertas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Notificações</w:t>
            </w:r>
          </w:p>
        </w:tc>
      </w:tr>
      <w:tr>
        <w:tc>
          <w:tcPr>
            <w:tcW w:type="dxa" w:w="158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Usuários</w:t>
            </w:r>
          </w:p>
        </w:tc>
        <w:tc>
          <w:tcPr>
            <w:tcW w:type="dxa" w:w="223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Sem reativação na UI</w:t>
            </w:r>
          </w:p>
        </w:tc>
        <w:tc>
          <w:tcPr>
            <w:tcW w:type="dxa" w:w="259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Gestão por parceiro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Médio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80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user_partners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Campanhas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CRUD e freeze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Soft delete e operação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Lotes de importação</w:t>
            </w:r>
          </w:p>
        </w:tc>
      </w:tr>
      <w:tr>
        <w:tc>
          <w:tcPr>
            <w:tcW w:type="dxa" w:w="158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Importação</w:t>
            </w:r>
          </w:p>
        </w:tc>
        <w:tc>
          <w:tcPr>
            <w:tcW w:type="dxa" w:w="223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Aliases fixos</w:t>
            </w:r>
          </w:p>
        </w:tc>
        <w:tc>
          <w:tcPr>
            <w:tcW w:type="dxa" w:w="259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Modelos configuráveis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80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Campos personalizados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Evidências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Storage genérico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Upload autorizado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Serviço de arquivos</w:t>
            </w:r>
          </w:p>
        </w:tc>
      </w:tr>
      <w:tr>
        <w:tc>
          <w:tcPr>
            <w:tcW w:type="dxa" w:w="1584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Notificações</w:t>
            </w:r>
          </w:p>
        </w:tc>
        <w:tc>
          <w:tcPr>
            <w:tcW w:type="dxa" w:w="223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Schema sem uso</w:t>
            </w:r>
          </w:p>
        </w:tc>
        <w:tc>
          <w:tcPr>
            <w:tcW w:type="dxa" w:w="2592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Internas e push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Médio</w:t>
            </w:r>
          </w:p>
        </w:tc>
        <w:tc>
          <w:tcPr>
            <w:tcW w:type="dxa" w:w="1008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Médio</w:t>
            </w:r>
          </w:p>
        </w:tc>
        <w:tc>
          <w:tcPr>
            <w:tcW w:type="dxa" w:w="1800"/>
            <w:shd w:fill="F3F7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Worker/cron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Eventos básicos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Contexto de parceiro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Médio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Tenant scope</w:t>
            </w:r>
          </w:p>
        </w:tc>
      </w:tr>
    </w:tbl>
    <w:p>
      <w:pPr>
        <w:spacing w:after="40"/>
      </w:pPr>
    </w:p>
    <w:p/>
    <w:p>
      <w:pPr>
        <w:spacing w:before="160"/>
      </w:pPr>
      <w:r>
        <w:rPr>
          <w:b/>
        </w:rPr>
        <w:t xml:space="preserve">Documento de referência: </w:t>
      </w:r>
      <w:r>
        <w:t>Documento Técnico V2.0 Plataforma de Gestão Comercial.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Relatório de Auditoria Técnica Pré V2.0 | Playcell Leads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