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0EE" w:rsidRPr="00AA0C32" w:rsidRDefault="00AA0C32">
      <w:pPr>
        <w:pStyle w:val="Ttulo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b/>
          <w:color w:val="auto"/>
          <w:sz w:val="30"/>
        </w:rPr>
        <w:t>Cyclo.ia — Informe de Privacidade e Uso de Dados</w:t>
      </w:r>
    </w:p>
    <w:p w:rsidR="006520EE" w:rsidRPr="00AA0C32" w:rsidRDefault="00AA0C32">
      <w:pPr>
        <w:spacing w:line="240" w:lineRule="auto"/>
        <w:rPr>
          <w:rFonts w:ascii="Arial" w:hAnsi="Arial" w:cs="Arial"/>
        </w:rPr>
      </w:pPr>
      <w:r w:rsidRPr="00AA0C32">
        <w:rPr>
          <w:rFonts w:ascii="Arial" w:hAnsi="Arial" w:cs="Arial"/>
          <w:i/>
          <w:sz w:val="18"/>
        </w:rPr>
        <w:t xml:space="preserve">Documento informativo para Compliance, Jurídico, Segurança da Informação e TI. Emissão: outubro de 2026. Este texto </w:t>
      </w:r>
      <w:r w:rsidRPr="00AA0C32">
        <w:rPr>
          <w:rFonts w:ascii="Arial" w:hAnsi="Arial" w:cs="Arial"/>
          <w:b/>
          <w:i/>
          <w:sz w:val="18"/>
        </w:rPr>
        <w:t>não constitui parecer jurídico</w:t>
      </w:r>
      <w:r w:rsidRPr="00AA0C32">
        <w:rPr>
          <w:rFonts w:ascii="Arial" w:hAnsi="Arial" w:cs="Arial"/>
          <w:i/>
          <w:sz w:val="18"/>
        </w:rPr>
        <w:t>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1. Propósito da solução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O Cyclo.ia é uma plataforma de </w:t>
      </w:r>
      <w:r w:rsidRPr="00AA0C32">
        <w:rPr>
          <w:rFonts w:ascii="Arial" w:hAnsi="Arial" w:cs="Arial"/>
          <w:b/>
          <w:sz w:val="20"/>
        </w:rPr>
        <w:t>cronometragem operacional (Time &amp; Motion)</w:t>
      </w:r>
      <w:r w:rsidRPr="00AA0C32">
        <w:rPr>
          <w:rFonts w:ascii="Arial" w:hAnsi="Arial" w:cs="Arial"/>
          <w:sz w:val="20"/>
        </w:rPr>
        <w:t xml:space="preserve"> que analisa vídeos de processo enviados pelo usuário e produz tempos e relatórios de movimentos. A finalidade é medir e melhorar o processo produtivo.</w:t>
      </w:r>
    </w:p>
    <w:p w:rsidR="006520EE" w:rsidRPr="00AA0C32" w:rsidRDefault="00AA0C32">
      <w:pPr>
        <w:spacing w:after="4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A solução </w:t>
      </w:r>
      <w:r w:rsidRPr="00AA0C32">
        <w:rPr>
          <w:rFonts w:ascii="Arial" w:hAnsi="Arial" w:cs="Arial"/>
          <w:b/>
          <w:sz w:val="20"/>
        </w:rPr>
        <w:t>não</w:t>
      </w:r>
      <w:r w:rsidRPr="00AA0C32">
        <w:rPr>
          <w:rFonts w:ascii="Arial" w:hAnsi="Arial" w:cs="Arial"/>
          <w:sz w:val="20"/>
        </w:rPr>
        <w:t xml:space="preserve"> realiza: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Monitoramento contínuo de colaboradores </w:t>
      </w:r>
      <w:r w:rsidRPr="00AA0C32">
        <w:rPr>
          <w:rFonts w:ascii="Arial" w:hAnsi="Arial" w:cs="Arial"/>
          <w:sz w:val="20"/>
        </w:rPr>
        <w:t>ou da estação de trabalho.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Captura de tela, registro de teclado, áudio do dispositivo ou agente em segundo plano.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Coleta automática de câmera sem ação deliberada do usuário autorizado.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O conteúdo analisado corresponde a </w:t>
      </w:r>
      <w:r w:rsidRPr="00AA0C32">
        <w:rPr>
          <w:rFonts w:ascii="Arial" w:hAnsi="Arial" w:cs="Arial"/>
          <w:b/>
          <w:sz w:val="20"/>
        </w:rPr>
        <w:t xml:space="preserve">vídeos operacionais encaminhados de </w:t>
      </w:r>
      <w:r w:rsidRPr="00AA0C32">
        <w:rPr>
          <w:rFonts w:ascii="Arial" w:hAnsi="Arial" w:cs="Arial"/>
          <w:b/>
          <w:sz w:val="20"/>
        </w:rPr>
        <w:t>forma voluntária</w:t>
      </w:r>
      <w:r w:rsidRPr="00AA0C32">
        <w:rPr>
          <w:rFonts w:ascii="Arial" w:hAnsi="Arial" w:cs="Arial"/>
          <w:sz w:val="20"/>
        </w:rPr>
        <w:t xml:space="preserve"> (por exemplo, registro de posto ou linha de produção), e não a vigilância digital do colaborador.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2. Tratamento de dados em linhas gerais</w:t>
      </w:r>
    </w:p>
    <w:p w:rsidR="006520EE" w:rsidRPr="00AA0C32" w:rsidRDefault="00AA0C32">
      <w:pPr>
        <w:spacing w:after="4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Em síntese, o fluxo de tratamento observa as seguintes etapas: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O usuário autorizado cria a atividade </w:t>
      </w:r>
      <w:r w:rsidRPr="00AA0C32">
        <w:rPr>
          <w:rFonts w:ascii="Arial" w:hAnsi="Arial" w:cs="Arial"/>
          <w:sz w:val="20"/>
        </w:rPr>
        <w:t>de cronometragem e envia o(s) vídeo(s).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Os arquivos e metadados são armazenados na infraestrutura contratada para a conta do cliente.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Mediante solicitação de análise, o vídeo é processado por provedor de inteligência artificial especializado em compreensão</w:t>
      </w:r>
      <w:r w:rsidRPr="00AA0C32">
        <w:rPr>
          <w:rFonts w:ascii="Arial" w:hAnsi="Arial" w:cs="Arial"/>
          <w:sz w:val="20"/>
        </w:rPr>
        <w:t xml:space="preserve"> de vídeo, com o objetivo exclusivo de gerar o relatório de tempos.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Após a análise, a cópia temporária utilizada pelo provedor de IA é eliminada pela solução.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O vídeo original observa prazo de retenção configurável (</w:t>
      </w:r>
      <w:r w:rsidRPr="00AA0C32">
        <w:rPr>
          <w:rFonts w:ascii="Arial" w:hAnsi="Arial" w:cs="Arial"/>
          <w:b/>
          <w:sz w:val="20"/>
        </w:rPr>
        <w:t>padrão de 72 horas</w:t>
      </w:r>
      <w:r w:rsidRPr="00AA0C32">
        <w:rPr>
          <w:rFonts w:ascii="Arial" w:hAnsi="Arial" w:cs="Arial"/>
          <w:sz w:val="20"/>
        </w:rPr>
        <w:t>). O relatório estrutu</w:t>
      </w:r>
      <w:r w:rsidRPr="00AA0C32">
        <w:rPr>
          <w:rFonts w:ascii="Arial" w:hAnsi="Arial" w:cs="Arial"/>
          <w:sz w:val="20"/>
        </w:rPr>
        <w:t>rado de tempos permanece disponível para consulta operacional.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3. Provedores envolvidos e uso para treinamento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A análise utiliza serviços de inteligência artificial de mercado, na qualidade de </w:t>
      </w:r>
      <w:r w:rsidRPr="00AA0C32">
        <w:rPr>
          <w:rFonts w:ascii="Arial" w:hAnsi="Arial" w:cs="Arial"/>
          <w:b/>
          <w:sz w:val="20"/>
        </w:rPr>
        <w:t>processadores contratados</w:t>
      </w:r>
      <w:r w:rsidRPr="00AA0C32">
        <w:rPr>
          <w:rFonts w:ascii="Arial" w:hAnsi="Arial" w:cs="Arial"/>
          <w:sz w:val="20"/>
        </w:rPr>
        <w:t>. Não há treinamento de modelo próprio</w:t>
      </w:r>
      <w:r w:rsidRPr="00AA0C32">
        <w:rPr>
          <w:rFonts w:ascii="Arial" w:hAnsi="Arial" w:cs="Arial"/>
          <w:sz w:val="20"/>
        </w:rPr>
        <w:t xml:space="preserve"> do Cyclo.ia com os vídeos do cliente.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AA0C32" w:rsidRPr="00AA0C32">
        <w:trPr>
          <w:jc w:val="center"/>
        </w:trPr>
        <w:tc>
          <w:tcPr>
            <w:tcW w:w="3249" w:type="dxa"/>
            <w:shd w:val="clear" w:color="auto" w:fill="1F4E79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b/>
                <w:sz w:val="18"/>
              </w:rPr>
              <w:t>Provedor</w:t>
            </w:r>
          </w:p>
        </w:tc>
        <w:tc>
          <w:tcPr>
            <w:tcW w:w="3249" w:type="dxa"/>
            <w:shd w:val="clear" w:color="auto" w:fill="1F4E79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b/>
                <w:sz w:val="18"/>
              </w:rPr>
              <w:t>Função</w:t>
            </w:r>
          </w:p>
        </w:tc>
        <w:tc>
          <w:tcPr>
            <w:tcW w:w="3249" w:type="dxa"/>
            <w:shd w:val="clear" w:color="auto" w:fill="1F4E79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b/>
                <w:sz w:val="18"/>
              </w:rPr>
              <w:t>Uso para treinamento (política oficial)</w:t>
            </w:r>
          </w:p>
        </w:tc>
      </w:tr>
      <w:tr w:rsidR="00AA0C32" w:rsidRPr="00AA0C32">
        <w:trPr>
          <w:jc w:val="center"/>
        </w:trPr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Google Gemini API (</w:t>
            </w:r>
            <w:proofErr w:type="spellStart"/>
            <w:r w:rsidRPr="00AA0C32">
              <w:rPr>
                <w:rFonts w:ascii="Arial" w:hAnsi="Arial" w:cs="Arial"/>
                <w:sz w:val="18"/>
              </w:rPr>
              <w:t>serviço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pago)</w:t>
            </w:r>
          </w:p>
        </w:tc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Análise principal de vídeo</w:t>
            </w:r>
          </w:p>
        </w:tc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Não utiliza prompts, arquivos (incl. vídeos) nem respostas para aprimorar produtos</w:t>
            </w:r>
          </w:p>
        </w:tc>
      </w:tr>
      <w:tr w:rsidR="00AA0C32" w:rsidRPr="00AA0C32">
        <w:trPr>
          <w:jc w:val="center"/>
        </w:trPr>
        <w:tc>
          <w:tcPr>
            <w:tcW w:w="3249" w:type="dxa"/>
            <w:shd w:val="clear" w:color="auto" w:fill="F2F2F2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proofErr w:type="spellStart"/>
            <w:r w:rsidRPr="00AA0C32">
              <w:rPr>
                <w:rFonts w:ascii="Arial" w:hAnsi="Arial" w:cs="Arial"/>
                <w:sz w:val="18"/>
              </w:rPr>
              <w:t>OpenAI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API </w:t>
            </w:r>
            <w:r w:rsidRPr="00AA0C32">
              <w:rPr>
                <w:rFonts w:ascii="Arial" w:hAnsi="Arial" w:cs="Arial"/>
                <w:sz w:val="18"/>
              </w:rPr>
              <w:t>(</w:t>
            </w:r>
            <w:proofErr w:type="spellStart"/>
            <w:r w:rsidRPr="00AA0C32">
              <w:rPr>
                <w:rFonts w:ascii="Arial" w:hAnsi="Arial" w:cs="Arial"/>
                <w:sz w:val="18"/>
              </w:rPr>
              <w:t>contingência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AA0C32">
              <w:rPr>
                <w:rFonts w:ascii="Arial" w:hAnsi="Arial" w:cs="Arial"/>
                <w:sz w:val="18"/>
              </w:rPr>
              <w:t>opcional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>)</w:t>
            </w:r>
          </w:p>
        </w:tc>
        <w:tc>
          <w:tcPr>
            <w:tcW w:w="3249" w:type="dxa"/>
            <w:shd w:val="clear" w:color="auto" w:fill="F2F2F2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Alternativa em caso de indisponibilidade do provedor principal</w:t>
            </w:r>
          </w:p>
        </w:tc>
        <w:tc>
          <w:tcPr>
            <w:tcW w:w="3249" w:type="dxa"/>
            <w:shd w:val="clear" w:color="auto" w:fill="F2F2F2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Não utiliza dados da API para treinamento, por padrão (salvo opt-in)</w:t>
            </w:r>
          </w:p>
        </w:tc>
      </w:tr>
      <w:tr w:rsidR="006520EE" w:rsidRPr="00AA0C32">
        <w:trPr>
          <w:jc w:val="center"/>
        </w:trPr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proofErr w:type="spellStart"/>
            <w:r w:rsidRPr="00AA0C32">
              <w:rPr>
                <w:rFonts w:ascii="Arial" w:hAnsi="Arial" w:cs="Arial"/>
                <w:sz w:val="18"/>
              </w:rPr>
              <w:t>Provedor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de </w:t>
            </w:r>
            <w:proofErr w:type="spellStart"/>
            <w:r w:rsidRPr="00AA0C32">
              <w:rPr>
                <w:rFonts w:ascii="Arial" w:hAnsi="Arial" w:cs="Arial"/>
                <w:sz w:val="18"/>
              </w:rPr>
              <w:t>armazenamento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</w:t>
            </w:r>
            <w:proofErr w:type="spellStart"/>
            <w:r w:rsidRPr="00AA0C32">
              <w:rPr>
                <w:rFonts w:ascii="Arial" w:hAnsi="Arial" w:cs="Arial"/>
                <w:sz w:val="18"/>
              </w:rPr>
              <w:t>em</w:t>
            </w:r>
            <w:proofErr w:type="spellEnd"/>
            <w:r w:rsidRPr="00AA0C32">
              <w:rPr>
                <w:rFonts w:ascii="Arial" w:hAnsi="Arial" w:cs="Arial"/>
                <w:sz w:val="18"/>
              </w:rPr>
              <w:t xml:space="preserve"> nuvem</w:t>
            </w:r>
          </w:p>
        </w:tc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Guarda de vídeos, metadados e resultados</w:t>
            </w:r>
          </w:p>
        </w:tc>
        <w:tc>
          <w:tcPr>
            <w:tcW w:w="3249" w:type="dxa"/>
          </w:tcPr>
          <w:p w:rsidR="006520EE" w:rsidRPr="00AA0C32" w:rsidRDefault="00AA0C32">
            <w:pPr>
              <w:rPr>
                <w:rFonts w:ascii="Arial" w:hAnsi="Arial" w:cs="Arial"/>
              </w:rPr>
            </w:pPr>
            <w:r w:rsidRPr="00AA0C32">
              <w:rPr>
                <w:rFonts w:ascii="Arial" w:hAnsi="Arial" w:cs="Arial"/>
                <w:sz w:val="18"/>
              </w:rPr>
              <w:t>Não utiliza dados do cl</w:t>
            </w:r>
            <w:r w:rsidRPr="00AA0C32">
              <w:rPr>
                <w:rFonts w:ascii="Arial" w:hAnsi="Arial" w:cs="Arial"/>
                <w:sz w:val="18"/>
              </w:rPr>
              <w:t>iente para treinar modelos sem consentimento escrito</w:t>
            </w:r>
          </w:p>
        </w:tc>
      </w:tr>
    </w:tbl>
    <w:p w:rsidR="006520EE" w:rsidRPr="00AA0C32" w:rsidRDefault="006520EE">
      <w:pPr>
        <w:rPr>
          <w:rFonts w:ascii="Arial" w:hAnsi="Arial" w:cs="Arial"/>
        </w:rPr>
      </w:pP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b/>
          <w:sz w:val="20"/>
        </w:rPr>
        <w:t>Condição essencial:</w:t>
      </w:r>
      <w:r w:rsidRPr="00AA0C32">
        <w:rPr>
          <w:rFonts w:ascii="Arial" w:hAnsi="Arial" w:cs="Arial"/>
          <w:sz w:val="20"/>
        </w:rPr>
        <w:t xml:space="preserve"> a proteção contratual da Google quanto à não utilização para treinamento aplica-se aos </w:t>
      </w:r>
      <w:r w:rsidRPr="00AA0C32">
        <w:rPr>
          <w:rFonts w:ascii="Arial" w:hAnsi="Arial" w:cs="Arial"/>
          <w:b/>
          <w:sz w:val="20"/>
        </w:rPr>
        <w:t>serviços pagos (Paid Services)</w:t>
      </w:r>
      <w:r w:rsidRPr="00AA0C32">
        <w:rPr>
          <w:rFonts w:ascii="Arial" w:hAnsi="Arial" w:cs="Arial"/>
          <w:sz w:val="20"/>
        </w:rPr>
        <w:t xml:space="preserve">. O uso em produção deve ocorrer com faturamento ativo. Em </w:t>
      </w:r>
      <w:r w:rsidRPr="00AA0C32">
        <w:rPr>
          <w:rFonts w:ascii="Arial" w:hAnsi="Arial" w:cs="Arial"/>
          <w:sz w:val="20"/>
        </w:rPr>
        <w:t>serviços gratuitos, o provedor pode empregar o conteúdo para melhoria de produtos — hipótese que deve ser evitida em ambiente corporativo.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Mesmo no regime pago, o provedor pode manter registros temporários exclusivamente para segurança, prevenção de abuso </w:t>
      </w:r>
      <w:r w:rsidRPr="00AA0C32">
        <w:rPr>
          <w:rFonts w:ascii="Arial" w:hAnsi="Arial" w:cs="Arial"/>
          <w:sz w:val="20"/>
        </w:rPr>
        <w:t xml:space="preserve">e obrigações legais — </w:t>
      </w:r>
      <w:r w:rsidRPr="00AA0C32">
        <w:rPr>
          <w:rFonts w:ascii="Arial" w:hAnsi="Arial" w:cs="Arial"/>
          <w:b/>
          <w:sz w:val="20"/>
        </w:rPr>
        <w:t>não para treinamento de modelos</w:t>
      </w:r>
      <w:r w:rsidRPr="00AA0C32">
        <w:rPr>
          <w:rFonts w:ascii="Arial" w:hAnsi="Arial" w:cs="Arial"/>
          <w:sz w:val="20"/>
        </w:rPr>
        <w:t>. Organizações com exigência de retenção zero podem avaliar regimes enterprise adicionais (por exemplo, Zero Data Retention / Vertex AI), mediante contratação específica.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lastRenderedPageBreak/>
        <w:t>4. Garantias e controles relevan</w:t>
      </w:r>
      <w:r w:rsidRPr="00AA0C32">
        <w:rPr>
          <w:rFonts w:ascii="Arial" w:eastAsia="Calibri" w:hAnsi="Arial" w:cs="Arial"/>
          <w:color w:val="auto"/>
          <w:sz w:val="24"/>
        </w:rPr>
        <w:t>tes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Processamento </w:t>
      </w:r>
      <w:r w:rsidRPr="00AA0C32">
        <w:rPr>
          <w:rFonts w:ascii="Arial" w:hAnsi="Arial" w:cs="Arial"/>
          <w:b/>
          <w:sz w:val="20"/>
        </w:rPr>
        <w:t>sob demanda</w:t>
      </w:r>
      <w:r w:rsidRPr="00AA0C32">
        <w:rPr>
          <w:rFonts w:ascii="Arial" w:hAnsi="Arial" w:cs="Arial"/>
          <w:sz w:val="20"/>
        </w:rPr>
        <w:t>, iniciado apenas por usuário autorizado.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Eliminação da cópia temporária no provedor de IA após a análise.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Retenção limitada do vídeo (padrão de 72 horas), com limpeza automatizada.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 xml:space="preserve">Contingência com segundo provedor de IA </w:t>
      </w:r>
      <w:r w:rsidRPr="00AA0C32">
        <w:rPr>
          <w:rFonts w:ascii="Arial" w:hAnsi="Arial" w:cs="Arial"/>
          <w:b/>
          <w:sz w:val="20"/>
        </w:rPr>
        <w:t>opcio</w:t>
      </w:r>
      <w:r w:rsidRPr="00AA0C32">
        <w:rPr>
          <w:rFonts w:ascii="Arial" w:hAnsi="Arial" w:cs="Arial"/>
          <w:b/>
          <w:sz w:val="20"/>
        </w:rPr>
        <w:t>nal</w:t>
      </w:r>
      <w:r w:rsidRPr="00AA0C32">
        <w:rPr>
          <w:rFonts w:ascii="Arial" w:hAnsi="Arial" w:cs="Arial"/>
          <w:sz w:val="20"/>
        </w:rPr>
        <w:t xml:space="preserve"> e desativável, se a política interna exigir um único processador.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Celebração de Adendo de Processamento de Dados (DPA) com os provedores, conforme necessidade jurídica da organização.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5. Enquadramento perante políticas internas de “vedação a IA”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Se a p</w:t>
      </w:r>
      <w:r w:rsidRPr="00AA0C32">
        <w:rPr>
          <w:rFonts w:ascii="Arial" w:hAnsi="Arial" w:cs="Arial"/>
          <w:sz w:val="20"/>
        </w:rPr>
        <w:t xml:space="preserve">olítica institucional veda </w:t>
      </w:r>
      <w:r w:rsidRPr="00AA0C32">
        <w:rPr>
          <w:rFonts w:ascii="Arial" w:hAnsi="Arial" w:cs="Arial"/>
          <w:b/>
          <w:sz w:val="20"/>
        </w:rPr>
        <w:t>qualquer</w:t>
      </w:r>
      <w:r w:rsidRPr="00AA0C32">
        <w:rPr>
          <w:rFonts w:ascii="Arial" w:hAnsi="Arial" w:cs="Arial"/>
          <w:sz w:val="20"/>
        </w:rPr>
        <w:t xml:space="preserve"> processamento por modelo de IA, ainda que como serviço contratado, a solução não atende sem arquitetura alternativa (modelo em infraestrutura própria). Se o objetivo for impedir que dados corporativos treinem modelos de </w:t>
      </w:r>
      <w:r w:rsidRPr="00AA0C32">
        <w:rPr>
          <w:rFonts w:ascii="Arial" w:hAnsi="Arial" w:cs="Arial"/>
          <w:sz w:val="20"/>
        </w:rPr>
        <w:t>terceiros ou bloquear ferramentas consumer na rede, o Cyclo.ia pode ser compatível mediante conta paga, DPA, controles de acesso e, quando exigido, desativação da contingência ou regime de retenção zero.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A filmagem de postos de trabalho deve observar a LGP</w:t>
      </w:r>
      <w:r w:rsidRPr="00AA0C32">
        <w:rPr>
          <w:rFonts w:ascii="Arial" w:hAnsi="Arial" w:cs="Arial"/>
          <w:sz w:val="20"/>
        </w:rPr>
        <w:t>D e as normas internas da organização; a definição da base legal compete à área jurídica do cliente.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6. Condições recomendadas para implantação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Utilizar exclusivamente a API do provedor principal em regime pago.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Formalizar DPA com os processadores envolvid</w:t>
      </w:r>
      <w:r w:rsidRPr="00AA0C32">
        <w:rPr>
          <w:rFonts w:ascii="Arial" w:hAnsi="Arial" w:cs="Arial"/>
          <w:sz w:val="20"/>
        </w:rPr>
        <w:t>os.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Adotar autenticação corporativa e controle de acesso por perfil/organização.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Manter repositório de vídeos com acesso restrito (sem exposição pública).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Alinhar prazos de retenção de vídeos e relatórios à política interna.</w:t>
      </w:r>
    </w:p>
    <w:p w:rsidR="006520EE" w:rsidRPr="00AA0C32" w:rsidRDefault="00AA0C32">
      <w:pPr>
        <w:pStyle w:val="Numerada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Documentar a ciência dos colabo</w:t>
      </w:r>
      <w:r w:rsidRPr="00AA0C32">
        <w:rPr>
          <w:rFonts w:ascii="Arial" w:hAnsi="Arial" w:cs="Arial"/>
          <w:sz w:val="20"/>
        </w:rPr>
        <w:t>radores quanto à filmagem para fins de cronometragem.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7. Fontes oficiais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Google — Gemini API Additional Terms: https://ai.google.dev/gemini-api/terms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Google — Zero Data Retention: https://ai.google.dev/gemini-api/docs/zdr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OpenAI — Business data privacy: ht</w:t>
      </w:r>
      <w:r w:rsidRPr="00AA0C32">
        <w:rPr>
          <w:rFonts w:ascii="Arial" w:hAnsi="Arial" w:cs="Arial"/>
          <w:sz w:val="20"/>
        </w:rPr>
        <w:t>tps://openai.com/business-data/</w:t>
      </w:r>
    </w:p>
    <w:p w:rsidR="006520EE" w:rsidRPr="00AA0C32" w:rsidRDefault="00AA0C32">
      <w:pPr>
        <w:pStyle w:val="Commarcadores"/>
        <w:spacing w:after="40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OpenAI — API data controls: https://developers.openai.com/api/docs/guides/your-data</w:t>
      </w:r>
    </w:p>
    <w:p w:rsidR="006520EE" w:rsidRPr="00AA0C32" w:rsidRDefault="00AA0C32">
      <w:pPr>
        <w:pStyle w:val="Ttulo1"/>
        <w:rPr>
          <w:rFonts w:ascii="Arial" w:hAnsi="Arial" w:cs="Arial"/>
          <w:color w:val="auto"/>
        </w:rPr>
      </w:pPr>
      <w:r w:rsidRPr="00AA0C32">
        <w:rPr>
          <w:rFonts w:ascii="Arial" w:eastAsia="Calibri" w:hAnsi="Arial" w:cs="Arial"/>
          <w:color w:val="auto"/>
          <w:sz w:val="24"/>
        </w:rPr>
        <w:t>8. Síntese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sz w:val="20"/>
        </w:rPr>
        <w:t>O Cyclo.ia processa vídeos de processo enviados sob demanda para gerar cronometragem operacional. Não monitora o desktop do colab</w:t>
      </w:r>
      <w:r w:rsidRPr="00AA0C32">
        <w:rPr>
          <w:rFonts w:ascii="Arial" w:hAnsi="Arial" w:cs="Arial"/>
          <w:sz w:val="20"/>
        </w:rPr>
        <w:t xml:space="preserve">orador. Com o provedor principal em conta paga, a documentação oficial veda o uso de vídeos, prompts e respostas para treinamento ou aprimoramento de modelos. A inteligência artificial atua como </w:t>
      </w:r>
      <w:r w:rsidRPr="00AA0C32">
        <w:rPr>
          <w:rFonts w:ascii="Arial" w:hAnsi="Arial" w:cs="Arial"/>
          <w:b/>
          <w:sz w:val="20"/>
        </w:rPr>
        <w:t>processador contratado</w:t>
      </w:r>
      <w:r w:rsidRPr="00AA0C32">
        <w:rPr>
          <w:rFonts w:ascii="Arial" w:hAnsi="Arial" w:cs="Arial"/>
          <w:sz w:val="20"/>
        </w:rPr>
        <w:t>, e não como mecanismo de ingestão para</w:t>
      </w:r>
      <w:r w:rsidRPr="00AA0C32">
        <w:rPr>
          <w:rFonts w:ascii="Arial" w:hAnsi="Arial" w:cs="Arial"/>
          <w:sz w:val="20"/>
        </w:rPr>
        <w:t xml:space="preserve"> treinamento, desde que observadas as condições descritas neste informe.</w:t>
      </w:r>
    </w:p>
    <w:p w:rsidR="006520EE" w:rsidRPr="00AA0C32" w:rsidRDefault="00AA0C32">
      <w:pPr>
        <w:spacing w:after="120" w:line="240" w:lineRule="auto"/>
        <w:rPr>
          <w:rFonts w:ascii="Arial" w:hAnsi="Arial" w:cs="Arial"/>
        </w:rPr>
      </w:pPr>
      <w:r w:rsidRPr="00AA0C32">
        <w:rPr>
          <w:rFonts w:ascii="Arial" w:hAnsi="Arial" w:cs="Arial"/>
          <w:i/>
          <w:sz w:val="18"/>
        </w:rPr>
        <w:t>Políticas de provedores podem ser alteradas; prevalecem o contrato e o DPA celebrados. Este documento é informativo e não substitui assessoria jurídica especializada.</w:t>
      </w:r>
    </w:p>
    <w:p w:rsidR="006520EE" w:rsidRPr="00AA0C32" w:rsidRDefault="00AA0C32">
      <w:pPr>
        <w:spacing w:after="0" w:line="240" w:lineRule="auto"/>
        <w:jc w:val="center"/>
        <w:rPr>
          <w:rFonts w:ascii="Arial" w:hAnsi="Arial" w:cs="Arial"/>
        </w:rPr>
      </w:pPr>
      <w:r w:rsidRPr="00AA0C32">
        <w:rPr>
          <w:rFonts w:ascii="Arial" w:hAnsi="Arial" w:cs="Arial"/>
          <w:i/>
          <w:sz w:val="18"/>
        </w:rPr>
        <w:t xml:space="preserve">— Fim do </w:t>
      </w:r>
      <w:r w:rsidRPr="00AA0C32">
        <w:rPr>
          <w:rFonts w:ascii="Arial" w:hAnsi="Arial" w:cs="Arial"/>
          <w:i/>
          <w:sz w:val="18"/>
        </w:rPr>
        <w:t>d</w:t>
      </w:r>
      <w:bookmarkStart w:id="0" w:name="_GoBack"/>
      <w:bookmarkEnd w:id="0"/>
      <w:r w:rsidRPr="00AA0C32">
        <w:rPr>
          <w:rFonts w:ascii="Arial" w:hAnsi="Arial" w:cs="Arial"/>
          <w:i/>
          <w:sz w:val="18"/>
        </w:rPr>
        <w:t>ocumento —</w:t>
      </w:r>
    </w:p>
    <w:sectPr w:rsidR="006520EE" w:rsidRPr="00AA0C32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0EE"/>
    <w:rsid w:val="00AA0C3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BE57F54-9546-4048-98C3-7EE5FECC1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348C0F-557B-4234-8C3B-25E43BE8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878</Words>
  <Characters>4745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2</cp:revision>
  <dcterms:created xsi:type="dcterms:W3CDTF">2013-12-23T23:15:00Z</dcterms:created>
  <dcterms:modified xsi:type="dcterms:W3CDTF">2026-10-02T22:16:00Z</dcterms:modified>
  <cp:category/>
</cp:coreProperties>
</file>