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00"/>
        <w:jc w:val="center"/>
      </w:pPr>
      <w:r>
        <w:rPr>
          <w:rFonts w:ascii="Calibri" w:cs="Calibri" w:eastAsia="Calibri" w:hAnsi="Calibri"/>
          <w:b/>
          <w:bCs/>
          <w:color w:val="0E8A8A"/>
          <w:sz w:val="22"/>
          <w:szCs w:val="22"/>
        </w:rPr>
        <w:t xml:space="preserve">ASSOCIATION MARE DURABILIS</w:t>
      </w:r>
    </w:p>
    <w:p>
      <w:pPr>
        <w:pBdr>
          <w:bottom w:val="single" w:color="16256B" w:sz="12" w:space="12"/>
        </w:pBdr>
        <w:spacing w:after="120"/>
        <w:jc w:val="center"/>
      </w:pPr>
      <w:r>
        <w:rPr>
          <w:rFonts w:ascii="Calibri" w:cs="Calibri" w:eastAsia="Calibri" w:hAnsi="Calibri"/>
          <w:b/>
          <w:bCs/>
          <w:color w:val="16256B"/>
          <w:sz w:val="44"/>
          <w:szCs w:val="44"/>
        </w:rPr>
        <w:t xml:space="preserve">FICHE DE POSTE — CHEF DE PROJET, COORDINATEUR DE L’ÉCOSYSTÈME MARE DURABILIS</w:t>
      </w:r>
    </w:p>
    <w:p>
      <w:pPr>
        <w:spacing w:after="800" w:before="280"/>
        <w:jc w:val="center"/>
      </w:pPr>
      <w:r>
        <w:rPr>
          <w:rFonts w:ascii="Calibri" w:cs="Calibri" w:eastAsia="Calibri" w:hAnsi="Calibri"/>
          <w:i/>
          <w:iCs/>
          <w:color w:val="6B7280"/>
          <w:sz w:val="24"/>
          <w:szCs w:val="24"/>
        </w:rPr>
        <w:t xml:space="preserve">Fiche de poste</w:t>
      </w:r>
    </w:p>
    <w:tbl>
      <w:tblPr>
        <w:tblW w:type="dxa" w:w="9026"/>
        <w:tblBorders>
          <w:top w:val="single" w:color="C9D2DE" w:sz="4"/>
          <w:left w:val="single" w:color="C9D2DE" w:sz="4"/>
          <w:bottom w:val="single" w:color="C9D2DE" w:sz="4"/>
          <w:right w:val="single" w:color="C9D2DE" w:sz="4"/>
          <w:insideH w:val="single" w:color="C9D2DE" w:sz="4"/>
          <w:insideV w:val="single" w:color="C9D2DE" w:sz="4"/>
        </w:tblBorders>
      </w:tblPr>
      <w:tblGrid>
        <w:gridCol w:w="3000"/>
        <w:gridCol w:w="6026"/>
      </w:tblGrid>
      <w:tr>
        <w:trPr>
          <w:cantSplit/>
        </w:trPr>
        <w:tc>
          <w:tcPr>
            <w:tcW w:type="dxa" w:w="3000"/>
            <w:shd w:fill="EEF1F8" w:color="auto" w:val="clear"/>
            <w:tcMar>
              <w:top w:type="dxa" w:w="80"/>
              <w:left w:type="dxa" w:w="120"/>
              <w:bottom w:type="dxa" w:w="80"/>
              <w:right w:type="dxa" w:w="120"/>
            </w:tcMar>
            <w:vAlign w:val="center"/>
          </w:tcPr>
          <w:p>
            <w:pPr>
              <w:spacing w:after="0" w:line="264"/>
              <w:jc w:val="left"/>
            </w:pPr>
            <w:r>
              <w:rPr>
                <w:rFonts w:ascii="Calibri" w:cs="Calibri" w:eastAsia="Calibri" w:hAnsi="Calibri"/>
                <w:i w:val="false"/>
                <w:iCs w:val="false"/>
                <w:sz w:val="18"/>
                <w:szCs w:val="18"/>
              </w:rPr>
              <w:t xml:space="preserve">Objet</w:t>
            </w:r>
          </w:p>
        </w:tc>
        <w:tc>
          <w:tcPr>
            <w:tcW w:type="dxa" w:w="6026"/>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Fiche de poste du chef de projet, salarié de l’association, et justification de la répartition de son temps entre l’association, le fonds de dotation et Mare Services</w:t>
            </w:r>
          </w:p>
        </w:tc>
      </w:tr>
      <w:tr>
        <w:trPr>
          <w:cantSplit/>
        </w:trPr>
        <w:tc>
          <w:tcPr>
            <w:tcW w:type="dxa" w:w="3000"/>
            <w:shd w:fill="EEF1F8" w:color="auto" w:val="clear"/>
            <w:tcMar>
              <w:top w:type="dxa" w:w="80"/>
              <w:left w:type="dxa" w:w="120"/>
              <w:bottom w:type="dxa" w:w="80"/>
              <w:right w:type="dxa" w:w="120"/>
            </w:tcMar>
            <w:vAlign w:val="center"/>
          </w:tcPr>
          <w:p>
            <w:pPr>
              <w:spacing w:after="0" w:line="264"/>
              <w:jc w:val="left"/>
            </w:pPr>
            <w:r>
              <w:rPr>
                <w:rFonts w:ascii="Calibri" w:cs="Calibri" w:eastAsia="Calibri" w:hAnsi="Calibri"/>
                <w:i w:val="false"/>
                <w:iCs w:val="false"/>
                <w:sz w:val="18"/>
                <w:szCs w:val="18"/>
              </w:rPr>
              <w:t xml:space="preserve">Version</w:t>
            </w:r>
          </w:p>
        </w:tc>
        <w:tc>
          <w:tcPr>
            <w:tcW w:type="dxa" w:w="6026"/>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[v1 — projet de travail]</w:t>
            </w:r>
          </w:p>
        </w:tc>
      </w:tr>
      <w:tr>
        <w:trPr>
          <w:cantSplit/>
        </w:trPr>
        <w:tc>
          <w:tcPr>
            <w:tcW w:type="dxa" w:w="3000"/>
            <w:shd w:fill="EEF1F8" w:color="auto" w:val="clear"/>
            <w:tcMar>
              <w:top w:type="dxa" w:w="80"/>
              <w:left w:type="dxa" w:w="120"/>
              <w:bottom w:type="dxa" w:w="80"/>
              <w:right w:type="dxa" w:w="120"/>
            </w:tcMar>
            <w:vAlign w:val="center"/>
          </w:tcPr>
          <w:p>
            <w:pPr>
              <w:spacing w:after="0" w:line="264"/>
              <w:jc w:val="left"/>
            </w:pPr>
            <w:r>
              <w:rPr>
                <w:rFonts w:ascii="Calibri" w:cs="Calibri" w:eastAsia="Calibri" w:hAnsi="Calibri"/>
                <w:i w:val="false"/>
                <w:iCs w:val="false"/>
                <w:sz w:val="18"/>
                <w:szCs w:val="18"/>
              </w:rPr>
              <w:t xml:space="preserve">Date</w:t>
            </w:r>
          </w:p>
        </w:tc>
        <w:tc>
          <w:tcPr>
            <w:tcW w:type="dxa" w:w="6026"/>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29/09/2026</w:t>
            </w:r>
          </w:p>
        </w:tc>
      </w:tr>
      <w:tr>
        <w:trPr>
          <w:cantSplit/>
        </w:trPr>
        <w:tc>
          <w:tcPr>
            <w:tcW w:type="dxa" w:w="3000"/>
            <w:shd w:fill="EEF1F8" w:color="auto" w:val="clear"/>
            <w:tcMar>
              <w:top w:type="dxa" w:w="80"/>
              <w:left w:type="dxa" w:w="120"/>
              <w:bottom w:type="dxa" w:w="80"/>
              <w:right w:type="dxa" w:w="120"/>
            </w:tcMar>
            <w:vAlign w:val="center"/>
          </w:tcPr>
          <w:p>
            <w:pPr>
              <w:spacing w:after="0" w:line="264"/>
              <w:jc w:val="left"/>
            </w:pPr>
            <w:r>
              <w:rPr>
                <w:rFonts w:ascii="Calibri" w:cs="Calibri" w:eastAsia="Calibri" w:hAnsi="Calibri"/>
                <w:i w:val="false"/>
                <w:iCs w:val="false"/>
                <w:sz w:val="18"/>
                <w:szCs w:val="18"/>
              </w:rPr>
              <w:t xml:space="preserve">Rédacteur</w:t>
            </w:r>
          </w:p>
        </w:tc>
        <w:tc>
          <w:tcPr>
            <w:tcW w:type="dxa" w:w="6026"/>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Clément Chardon</w:t>
            </w:r>
          </w:p>
        </w:tc>
      </w:tr>
      <w:tr>
        <w:trPr>
          <w:cantSplit/>
        </w:trPr>
        <w:tc>
          <w:tcPr>
            <w:tcW w:type="dxa" w:w="3000"/>
            <w:shd w:fill="EEF1F8" w:color="auto" w:val="clear"/>
            <w:tcMar>
              <w:top w:type="dxa" w:w="80"/>
              <w:left w:type="dxa" w:w="120"/>
              <w:bottom w:type="dxa" w:w="80"/>
              <w:right w:type="dxa" w:w="120"/>
            </w:tcMar>
            <w:vAlign w:val="center"/>
          </w:tcPr>
          <w:p>
            <w:pPr>
              <w:spacing w:after="0" w:line="264"/>
              <w:jc w:val="left"/>
            </w:pPr>
            <w:r>
              <w:rPr>
                <w:rFonts w:ascii="Calibri" w:cs="Calibri" w:eastAsia="Calibri" w:hAnsi="Calibri"/>
                <w:i w:val="false"/>
                <w:iCs w:val="false"/>
                <w:sz w:val="18"/>
                <w:szCs w:val="18"/>
              </w:rPr>
              <w:t xml:space="preserve">Destinataire</w:t>
            </w:r>
          </w:p>
        </w:tc>
        <w:tc>
          <w:tcPr>
            <w:tcW w:type="dxa" w:w="6026"/>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Conseil d’administration de l’Association Mare Durabilis</w:t>
            </w:r>
          </w:p>
          <w:p>
            <w:pPr>
              <w:spacing w:after="0" w:line="264"/>
              <w:jc w:val="left"/>
            </w:pPr>
            <w:r>
              <w:rPr>
                <w:rFonts w:ascii="Calibri" w:cs="Calibri" w:eastAsia="Calibri" w:hAnsi="Calibri"/>
                <w:sz w:val="18"/>
                <w:szCs w:val="18"/>
              </w:rPr>
              <w:t xml:space="preserve">Conseil d’administration du fonds de dotation Mare Durabilis</w:t>
            </w:r>
          </w:p>
          <w:p>
            <w:pPr>
              <w:spacing w:after="0" w:line="264"/>
              <w:jc w:val="left"/>
            </w:pPr>
            <w:r>
              <w:rPr>
                <w:rFonts w:ascii="Calibri" w:cs="Calibri" w:eastAsia="Calibri" w:hAnsi="Calibri"/>
                <w:sz w:val="18"/>
                <w:szCs w:val="18"/>
              </w:rPr>
              <w:t xml:space="preserve">Mare Services</w:t>
            </w:r>
          </w:p>
        </w:tc>
      </w:tr>
      <w:tr>
        <w:trPr>
          <w:cantSplit/>
        </w:trPr>
        <w:tc>
          <w:tcPr>
            <w:tcW w:type="dxa" w:w="3000"/>
            <w:shd w:fill="EEF1F8" w:color="auto" w:val="clear"/>
            <w:tcMar>
              <w:top w:type="dxa" w:w="80"/>
              <w:left w:type="dxa" w:w="120"/>
              <w:bottom w:type="dxa" w:w="80"/>
              <w:right w:type="dxa" w:w="120"/>
            </w:tcMar>
            <w:vAlign w:val="center"/>
          </w:tcPr>
          <w:p>
            <w:pPr>
              <w:spacing w:after="0" w:line="264"/>
              <w:jc w:val="left"/>
            </w:pPr>
            <w:r>
              <w:rPr>
                <w:rFonts w:ascii="Calibri" w:cs="Calibri" w:eastAsia="Calibri" w:hAnsi="Calibri"/>
                <w:i w:val="false"/>
                <w:iCs w:val="false"/>
                <w:sz w:val="18"/>
                <w:szCs w:val="18"/>
              </w:rPr>
              <w:t xml:space="preserve">Documents liés</w:t>
            </w:r>
          </w:p>
        </w:tc>
        <w:tc>
          <w:tcPr>
            <w:tcW w:type="dxa" w:w="6026"/>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Mare_Durabilis_Budget_fonctionnement_2026_2029_ASSO</w:t>
            </w:r>
          </w:p>
          <w:p>
            <w:pPr>
              <w:spacing w:after="0" w:line="264"/>
              <w:jc w:val="left"/>
            </w:pPr>
            <w:r>
              <w:rPr>
                <w:rFonts w:ascii="Calibri" w:cs="Calibri" w:eastAsia="Calibri" w:hAnsi="Calibri"/>
                <w:sz w:val="18"/>
                <w:szCs w:val="18"/>
              </w:rPr>
              <w:t xml:space="preserve">Mare_Durabilis_Budget_pluriannuel_FDD</w:t>
            </w:r>
          </w:p>
          <w:p>
            <w:pPr>
              <w:spacing w:after="0" w:line="264"/>
              <w:jc w:val="left"/>
            </w:pPr>
            <w:r>
              <w:rPr>
                <w:rFonts w:ascii="Calibri" w:cs="Calibri" w:eastAsia="Calibri" w:hAnsi="Calibri"/>
                <w:sz w:val="18"/>
                <w:szCs w:val="18"/>
              </w:rPr>
              <w:t xml:space="preserve">Note stratégique sur le modèle économique de l’écosystème Mare Durabilis</w:t>
            </w:r>
          </w:p>
        </w:tc>
      </w:tr>
    </w:tbl>
    <w:p>
      <w:r>
        <w:br w:type="page"/>
      </w:r>
    </w:p>
    <w:p>
      <w:pPr>
        <w:pStyle w:val="Heading1"/>
        <w:keepNext/>
        <w:spacing w:after="160" w:before="360"/>
      </w:pPr>
      <w:r>
        <w:rPr>
          <w:rFonts w:ascii="Calibri" w:cs="Calibri" w:eastAsia="Calibri" w:hAnsi="Calibri"/>
          <w:b/>
          <w:bCs/>
          <w:color w:val="16256B"/>
          <w:sz w:val="30"/>
          <w:szCs w:val="30"/>
        </w:rPr>
        <w:t xml:space="preserve">1. Identification du poste</w:t>
      </w:r>
    </w:p>
    <w:tbl>
      <w:tblPr>
        <w:tblW w:type="dxa" w:w="9026"/>
        <w:tblBorders>
          <w:top w:val="single" w:color="C9D2DE" w:sz="4"/>
          <w:left w:val="single" w:color="C9D2DE" w:sz="4"/>
          <w:bottom w:val="single" w:color="C9D2DE" w:sz="4"/>
          <w:right w:val="single" w:color="C9D2DE" w:sz="4"/>
          <w:insideH w:val="single" w:color="C9D2DE" w:sz="4"/>
          <w:insideV w:val="single" w:color="C9D2DE" w:sz="4"/>
        </w:tblBorders>
      </w:tblPr>
      <w:tblGrid>
        <w:gridCol w:w="3000"/>
        <w:gridCol w:w="6026"/>
      </w:tblGrid>
      <w:tr>
        <w:trPr>
          <w:cantSplit/>
        </w:trPr>
        <w:tc>
          <w:tcPr>
            <w:tcW w:type="dxa" w:w="3000"/>
            <w:shd w:fill="EEF1F8" w:color="auto" w:val="clear"/>
            <w:tcMar>
              <w:top w:type="dxa" w:w="80"/>
              <w:left w:type="dxa" w:w="120"/>
              <w:bottom w:type="dxa" w:w="80"/>
              <w:right w:type="dxa" w:w="120"/>
            </w:tcMar>
            <w:vAlign w:val="center"/>
          </w:tcPr>
          <w:p>
            <w:pPr>
              <w:spacing w:after="0" w:line="264"/>
              <w:jc w:val="left"/>
            </w:pPr>
            <w:r>
              <w:rPr>
                <w:rFonts w:ascii="Calibri" w:cs="Calibri" w:eastAsia="Calibri" w:hAnsi="Calibri"/>
                <w:i w:val="false"/>
                <w:iCs w:val="false"/>
                <w:sz w:val="18"/>
                <w:szCs w:val="18"/>
              </w:rPr>
              <w:t xml:space="preserve">Employeur</w:t>
            </w:r>
          </w:p>
        </w:tc>
        <w:tc>
          <w:tcPr>
            <w:tcW w:type="dxa" w:w="6026"/>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Association Mare Durabilis, seul employeur</w:t>
            </w:r>
          </w:p>
        </w:tc>
      </w:tr>
      <w:tr>
        <w:trPr>
          <w:cantSplit/>
        </w:trPr>
        <w:tc>
          <w:tcPr>
            <w:tcW w:type="dxa" w:w="3000"/>
            <w:shd w:fill="EEF1F8" w:color="auto" w:val="clear"/>
            <w:tcMar>
              <w:top w:type="dxa" w:w="80"/>
              <w:left w:type="dxa" w:w="120"/>
              <w:bottom w:type="dxa" w:w="80"/>
              <w:right w:type="dxa" w:w="120"/>
            </w:tcMar>
            <w:vAlign w:val="center"/>
          </w:tcPr>
          <w:p>
            <w:pPr>
              <w:spacing w:after="0" w:line="264"/>
              <w:jc w:val="left"/>
            </w:pPr>
            <w:r>
              <w:rPr>
                <w:rFonts w:ascii="Calibri" w:cs="Calibri" w:eastAsia="Calibri" w:hAnsi="Calibri"/>
                <w:i w:val="false"/>
                <w:iCs w:val="false"/>
                <w:sz w:val="18"/>
                <w:szCs w:val="18"/>
              </w:rPr>
              <w:t xml:space="preserve">Intitulé</w:t>
            </w:r>
          </w:p>
        </w:tc>
        <w:tc>
          <w:tcPr>
            <w:tcW w:type="dxa" w:w="6026"/>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Chef de projet — coordinateur de l’écosystème Mare Durabilis</w:t>
            </w:r>
          </w:p>
        </w:tc>
      </w:tr>
      <w:tr>
        <w:trPr>
          <w:cantSplit/>
        </w:trPr>
        <w:tc>
          <w:tcPr>
            <w:tcW w:type="dxa" w:w="3000"/>
            <w:shd w:fill="EEF1F8" w:color="auto" w:val="clear"/>
            <w:tcMar>
              <w:top w:type="dxa" w:w="80"/>
              <w:left w:type="dxa" w:w="120"/>
              <w:bottom w:type="dxa" w:w="80"/>
              <w:right w:type="dxa" w:w="120"/>
            </w:tcMar>
            <w:vAlign w:val="center"/>
          </w:tcPr>
          <w:p>
            <w:pPr>
              <w:spacing w:after="0" w:line="264"/>
              <w:jc w:val="left"/>
            </w:pPr>
            <w:r>
              <w:rPr>
                <w:rFonts w:ascii="Calibri" w:cs="Calibri" w:eastAsia="Calibri" w:hAnsi="Calibri"/>
                <w:i w:val="false"/>
                <w:iCs w:val="false"/>
                <w:sz w:val="18"/>
                <w:szCs w:val="18"/>
              </w:rPr>
              <w:t xml:space="preserve">Statut</w:t>
            </w:r>
          </w:p>
        </w:tc>
        <w:tc>
          <w:tcPr>
            <w:tcW w:type="dxa" w:w="6026"/>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Cadre, temps plein (1 607 heures par an)</w:t>
            </w:r>
          </w:p>
        </w:tc>
      </w:tr>
      <w:tr>
        <w:trPr>
          <w:cantSplit/>
        </w:trPr>
        <w:tc>
          <w:tcPr>
            <w:tcW w:type="dxa" w:w="3000"/>
            <w:shd w:fill="EEF1F8" w:color="auto" w:val="clear"/>
            <w:tcMar>
              <w:top w:type="dxa" w:w="80"/>
              <w:left w:type="dxa" w:w="120"/>
              <w:bottom w:type="dxa" w:w="80"/>
              <w:right w:type="dxa" w:w="120"/>
            </w:tcMar>
            <w:vAlign w:val="center"/>
          </w:tcPr>
          <w:p>
            <w:pPr>
              <w:spacing w:after="0" w:line="264"/>
              <w:jc w:val="left"/>
            </w:pPr>
            <w:r>
              <w:rPr>
                <w:rFonts w:ascii="Calibri" w:cs="Calibri" w:eastAsia="Calibri" w:hAnsi="Calibri"/>
                <w:i w:val="false"/>
                <w:iCs w:val="false"/>
                <w:sz w:val="18"/>
                <w:szCs w:val="18"/>
              </w:rPr>
              <w:t xml:space="preserve">Contrat</w:t>
            </w:r>
          </w:p>
        </w:tc>
        <w:tc>
          <w:tcPr>
            <w:tcW w:type="dxa" w:w="6026"/>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CDD à objet défini de 18 à 36 mois, calé sur l’opération FEAMPA, ou CDI : au choix du conseil d’administration</w:t>
            </w:r>
          </w:p>
        </w:tc>
      </w:tr>
      <w:tr>
        <w:trPr>
          <w:cantSplit/>
        </w:trPr>
        <w:tc>
          <w:tcPr>
            <w:tcW w:type="dxa" w:w="3000"/>
            <w:shd w:fill="EEF1F8" w:color="auto" w:val="clear"/>
            <w:tcMar>
              <w:top w:type="dxa" w:w="80"/>
              <w:left w:type="dxa" w:w="120"/>
              <w:bottom w:type="dxa" w:w="80"/>
              <w:right w:type="dxa" w:w="120"/>
            </w:tcMar>
            <w:vAlign w:val="center"/>
          </w:tcPr>
          <w:p>
            <w:pPr>
              <w:spacing w:after="0" w:line="264"/>
              <w:jc w:val="left"/>
            </w:pPr>
            <w:r>
              <w:rPr>
                <w:rFonts w:ascii="Calibri" w:cs="Calibri" w:eastAsia="Calibri" w:hAnsi="Calibri"/>
                <w:i w:val="false"/>
                <w:iCs w:val="false"/>
                <w:sz w:val="18"/>
                <w:szCs w:val="18"/>
              </w:rPr>
              <w:t xml:space="preserve">Rattachement hiérarchique</w:t>
            </w:r>
          </w:p>
        </w:tc>
        <w:tc>
          <w:tcPr>
            <w:tcW w:type="dxa" w:w="6026"/>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Président de l’association</w:t>
            </w:r>
          </w:p>
        </w:tc>
      </w:tr>
      <w:tr>
        <w:trPr>
          <w:cantSplit/>
        </w:trPr>
        <w:tc>
          <w:tcPr>
            <w:tcW w:type="dxa" w:w="3000"/>
            <w:shd w:fill="EEF1F8" w:color="auto" w:val="clear"/>
            <w:tcMar>
              <w:top w:type="dxa" w:w="80"/>
              <w:left w:type="dxa" w:w="120"/>
              <w:bottom w:type="dxa" w:w="80"/>
              <w:right w:type="dxa" w:w="120"/>
            </w:tcMar>
            <w:vAlign w:val="center"/>
          </w:tcPr>
          <w:p>
            <w:pPr>
              <w:spacing w:after="0" w:line="264"/>
              <w:jc w:val="left"/>
            </w:pPr>
            <w:r>
              <w:rPr>
                <w:rFonts w:ascii="Calibri" w:cs="Calibri" w:eastAsia="Calibri" w:hAnsi="Calibri"/>
                <w:i w:val="false"/>
                <w:iCs w:val="false"/>
                <w:sz w:val="18"/>
                <w:szCs w:val="18"/>
              </w:rPr>
              <w:t xml:space="preserve">Rattachement fonctionnel</w:t>
            </w:r>
          </w:p>
        </w:tc>
        <w:tc>
          <w:tcPr>
            <w:tcW w:type="dxa" w:w="6026"/>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Président du fonds de dotation pour les missions du fonds ; dirigeant de Mare Services pour la plateforme, dans le cadre des conventions de prestation</w:t>
            </w:r>
          </w:p>
        </w:tc>
      </w:tr>
      <w:tr>
        <w:trPr>
          <w:cantSplit/>
        </w:trPr>
        <w:tc>
          <w:tcPr>
            <w:tcW w:type="dxa" w:w="3000"/>
            <w:shd w:fill="EEF1F8" w:color="auto" w:val="clear"/>
            <w:tcMar>
              <w:top w:type="dxa" w:w="80"/>
              <w:left w:type="dxa" w:w="120"/>
              <w:bottom w:type="dxa" w:w="80"/>
              <w:right w:type="dxa" w:w="120"/>
            </w:tcMar>
            <w:vAlign w:val="center"/>
          </w:tcPr>
          <w:p>
            <w:pPr>
              <w:spacing w:after="0" w:line="264"/>
              <w:jc w:val="left"/>
            </w:pPr>
            <w:r>
              <w:rPr>
                <w:rFonts w:ascii="Calibri" w:cs="Calibri" w:eastAsia="Calibri" w:hAnsi="Calibri"/>
                <w:i w:val="false"/>
                <w:iCs w:val="false"/>
                <w:sz w:val="18"/>
                <w:szCs w:val="18"/>
              </w:rPr>
              <w:t xml:space="preserve">Mandats</w:t>
            </w:r>
          </w:p>
        </w:tc>
        <w:tc>
          <w:tcPr>
            <w:tcW w:type="dxa" w:w="6026"/>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Aucun mandat social dans le fonds de dotation ni dans Mare Services</w:t>
            </w:r>
          </w:p>
        </w:tc>
      </w:tr>
      <w:tr>
        <w:trPr>
          <w:cantSplit/>
        </w:trPr>
        <w:tc>
          <w:tcPr>
            <w:tcW w:type="dxa" w:w="3000"/>
            <w:shd w:fill="EEF1F8" w:color="auto" w:val="clear"/>
            <w:tcMar>
              <w:top w:type="dxa" w:w="80"/>
              <w:left w:type="dxa" w:w="120"/>
              <w:bottom w:type="dxa" w:w="80"/>
              <w:right w:type="dxa" w:w="120"/>
            </w:tcMar>
            <w:vAlign w:val="center"/>
          </w:tcPr>
          <w:p>
            <w:pPr>
              <w:spacing w:after="0" w:line="264"/>
              <w:jc w:val="left"/>
            </w:pPr>
            <w:r>
              <w:rPr>
                <w:rFonts w:ascii="Calibri" w:cs="Calibri" w:eastAsia="Calibri" w:hAnsi="Calibri"/>
                <w:i w:val="false"/>
                <w:iCs w:val="false"/>
                <w:sz w:val="18"/>
                <w:szCs w:val="18"/>
              </w:rPr>
              <w:t xml:space="preserve">Lieu de travail</w:t>
            </w:r>
          </w:p>
        </w:tc>
        <w:tc>
          <w:tcPr>
            <w:tcW w:type="dxa" w:w="6026"/>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Sète, bureau mis à disposition par le fonds ; déplacements en Méditerranée, à Paris et à Bruxelles</w:t>
            </w:r>
          </w:p>
        </w:tc>
      </w:tr>
      <w:tr>
        <w:trPr>
          <w:cantSplit/>
        </w:trPr>
        <w:tc>
          <w:tcPr>
            <w:tcW w:type="dxa" w:w="3000"/>
            <w:shd w:fill="EEF1F8" w:color="auto" w:val="clear"/>
            <w:tcMar>
              <w:top w:type="dxa" w:w="80"/>
              <w:left w:type="dxa" w:w="120"/>
              <w:bottom w:type="dxa" w:w="80"/>
              <w:right w:type="dxa" w:w="120"/>
            </w:tcMar>
            <w:vAlign w:val="center"/>
          </w:tcPr>
          <w:p>
            <w:pPr>
              <w:spacing w:after="0" w:line="264"/>
              <w:jc w:val="left"/>
            </w:pPr>
            <w:r>
              <w:rPr>
                <w:rFonts w:ascii="Calibri" w:cs="Calibri" w:eastAsia="Calibri" w:hAnsi="Calibri"/>
                <w:i w:val="false"/>
                <w:iCs w:val="false"/>
                <w:sz w:val="18"/>
                <w:szCs w:val="18"/>
              </w:rPr>
              <w:t xml:space="preserve">Coût employeur budgété</w:t>
            </w:r>
          </w:p>
        </w:tc>
        <w:tc>
          <w:tcPr>
            <w:tcW w:type="dxa" w:w="6026"/>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55 000 € (base 2026, revalorisé de 2 % par an), plus mutuelle Allianz (70 € par mois) et prévoyance cadre (60 € par mois) à la charge de l’employeur</w:t>
            </w:r>
          </w:p>
        </w:tc>
      </w:tr>
      <w:tr>
        <w:trPr>
          <w:cantSplit/>
        </w:trPr>
        <w:tc>
          <w:tcPr>
            <w:tcW w:type="dxa" w:w="3000"/>
            <w:shd w:fill="EEF1F8" w:color="auto" w:val="clear"/>
            <w:tcMar>
              <w:top w:type="dxa" w:w="80"/>
              <w:left w:type="dxa" w:w="120"/>
              <w:bottom w:type="dxa" w:w="80"/>
              <w:right w:type="dxa" w:w="120"/>
            </w:tcMar>
            <w:vAlign w:val="center"/>
          </w:tcPr>
          <w:p>
            <w:pPr>
              <w:spacing w:after="0" w:line="264"/>
              <w:jc w:val="left"/>
            </w:pPr>
            <w:r>
              <w:rPr>
                <w:rFonts w:ascii="Calibri" w:cs="Calibri" w:eastAsia="Calibri" w:hAnsi="Calibri"/>
                <w:i w:val="false"/>
                <w:iCs w:val="false"/>
                <w:sz w:val="18"/>
                <w:szCs w:val="18"/>
              </w:rPr>
              <w:t xml:space="preserve">Prise de poste</w:t>
            </w:r>
          </w:p>
        </w:tc>
        <w:tc>
          <w:tcPr>
            <w:tcW w:type="dxa" w:w="6026"/>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1er juillet 2027</w:t>
            </w:r>
          </w:p>
        </w:tc>
      </w:tr>
    </w:tbl>
    <w:p>
      <w:pPr>
        <w:pStyle w:val="Heading1"/>
        <w:keepNext/>
        <w:spacing w:after="160" w:before="360"/>
      </w:pPr>
      <w:r>
        <w:rPr>
          <w:rFonts w:ascii="Calibri" w:cs="Calibri" w:eastAsia="Calibri" w:hAnsi="Calibri"/>
          <w:b/>
          <w:bCs/>
          <w:color w:val="16256B"/>
          <w:sz w:val="30"/>
          <w:szCs w:val="30"/>
        </w:rPr>
        <w:t xml:space="preserve">2. Finalité du poste</w:t>
      </w:r>
    </w:p>
    <w:p>
      <w:pPr>
        <w:spacing w:after="120" w:before="0" w:line="276"/>
        <w:jc w:val="both"/>
      </w:pPr>
      <w:r>
        <w:rPr>
          <w:rFonts w:ascii="Calibri" w:cs="Calibri" w:eastAsia="Calibri" w:hAnsi="Calibri"/>
          <w:sz w:val="22"/>
          <w:szCs w:val="22"/>
        </w:rPr>
        <w:t xml:space="preserve">Le chef de projet fait vivre l’écosystème Mare Durabilis sur un seul contrat de travail : il assure l’animation et la concertation pour l’association, fait fonctionner le fonds de dotation et gère la plateforme Mare Services.</w:t>
      </w:r>
    </w:p>
    <w:p>
      <w:pPr>
        <w:spacing w:after="120" w:before="0" w:line="276"/>
        <w:jc w:val="both"/>
      </w:pPr>
      <w:r>
        <w:rPr>
          <w:rFonts w:ascii="Calibri" w:cs="Calibri" w:eastAsia="Calibri" w:hAnsi="Calibri"/>
          <w:sz w:val="22"/>
          <w:szCs w:val="22"/>
        </w:rPr>
        <w:t xml:space="preserve">Il est le référent permanent de l’écosystème, garant de la continuité et de la cohérence des actions entre les trois structures. Il veille à la séparation de leurs financements : public pour l’association, privé pour le fonds, commercial pour Mare Services.</w:t>
      </w:r>
    </w:p>
    <w:p>
      <w:pPr>
        <w:pStyle w:val="Heading1"/>
        <w:keepNext/>
        <w:spacing w:after="160" w:before="360"/>
      </w:pPr>
      <w:r>
        <w:rPr>
          <w:rFonts w:ascii="Calibri" w:cs="Calibri" w:eastAsia="Calibri" w:hAnsi="Calibri"/>
          <w:b/>
          <w:bCs/>
          <w:color w:val="16256B"/>
          <w:sz w:val="30"/>
          <w:szCs w:val="30"/>
        </w:rPr>
        <w:t xml:space="preserve">3. Répartition du temps de travail</w:t>
      </w:r>
    </w:p>
    <w:p>
      <w:pPr>
        <w:spacing w:after="120" w:before="0" w:line="276"/>
        <w:jc w:val="both"/>
      </w:pPr>
      <w:r>
        <w:rPr>
          <w:rFonts w:ascii="Calibri" w:cs="Calibri" w:eastAsia="Calibri" w:hAnsi="Calibri"/>
          <w:sz w:val="22"/>
          <w:szCs w:val="22"/>
        </w:rPr>
        <w:t xml:space="preserve">Le temps se répartit à 60 % pour l’association, 20 % pour le fonds de dotation et 20 % pour Mare Services.</w:t>
      </w:r>
    </w:p>
    <w:tbl>
      <w:tblPr>
        <w:tblW w:type="dxa" w:w="9026"/>
        <w:tblBorders>
          <w:top w:val="single" w:color="C9D2DE" w:sz="4"/>
          <w:left w:val="single" w:color="C9D2DE" w:sz="4"/>
          <w:bottom w:val="single" w:color="C9D2DE" w:sz="4"/>
          <w:right w:val="single" w:color="C9D2DE" w:sz="4"/>
          <w:insideH w:val="single" w:color="C9D2DE" w:sz="4"/>
          <w:insideV w:val="single" w:color="C9D2DE" w:sz="4"/>
        </w:tblBorders>
      </w:tblPr>
      <w:tblGrid>
        <w:gridCol w:w="2600"/>
        <w:gridCol w:w="1100"/>
        <w:gridCol w:w="1300"/>
        <w:gridCol w:w="4026"/>
      </w:tblGrid>
      <w:tr>
        <w:trPr>
          <w:tblHeader/>
        </w:trPr>
        <w:tc>
          <w:tcPr>
            <w:tcW w:type="dxa" w:w="2600"/>
            <w:shd w:fill="16256B" w:color="auto" w:val="clear"/>
            <w:tcMar>
              <w:top w:type="dxa" w:w="80"/>
              <w:left w:type="dxa" w:w="120"/>
              <w:bottom w:type="dxa" w:w="80"/>
              <w:right w:type="dxa" w:w="120"/>
            </w:tcMar>
            <w:vAlign w:val="center"/>
          </w:tcPr>
          <w:p>
            <w:pPr>
              <w:spacing w:after="0" w:line="264"/>
              <w:jc w:val="left"/>
            </w:pPr>
            <w:r>
              <w:rPr>
                <w:rFonts w:ascii="Calibri" w:cs="Calibri" w:eastAsia="Calibri" w:hAnsi="Calibri"/>
                <w:b/>
                <w:bCs/>
                <w:color w:val="FFFFFF"/>
                <w:sz w:val="18"/>
                <w:szCs w:val="18"/>
              </w:rPr>
              <w:t xml:space="preserve">Structure</w:t>
            </w:r>
          </w:p>
        </w:tc>
        <w:tc>
          <w:tcPr>
            <w:tcW w:type="dxa" w:w="1100"/>
            <w:shd w:fill="16256B" w:color="auto" w:val="clear"/>
            <w:tcMar>
              <w:top w:type="dxa" w:w="80"/>
              <w:left w:type="dxa" w:w="120"/>
              <w:bottom w:type="dxa" w:w="80"/>
              <w:right w:type="dxa" w:w="120"/>
            </w:tcMar>
            <w:vAlign w:val="center"/>
          </w:tcPr>
          <w:p>
            <w:pPr>
              <w:spacing w:after="0" w:line="264"/>
              <w:jc w:val="left"/>
            </w:pPr>
            <w:r>
              <w:rPr>
                <w:rFonts w:ascii="Calibri" w:cs="Calibri" w:eastAsia="Calibri" w:hAnsi="Calibri"/>
                <w:b/>
                <w:bCs/>
                <w:color w:val="FFFFFF"/>
                <w:sz w:val="18"/>
                <w:szCs w:val="18"/>
              </w:rPr>
              <w:t xml:space="preserve">Quotité</w:t>
            </w:r>
          </w:p>
        </w:tc>
        <w:tc>
          <w:tcPr>
            <w:tcW w:type="dxa" w:w="1300"/>
            <w:shd w:fill="16256B" w:color="auto" w:val="clear"/>
            <w:tcMar>
              <w:top w:type="dxa" w:w="80"/>
              <w:left w:type="dxa" w:w="120"/>
              <w:bottom w:type="dxa" w:w="80"/>
              <w:right w:type="dxa" w:w="120"/>
            </w:tcMar>
            <w:vAlign w:val="center"/>
          </w:tcPr>
          <w:p>
            <w:pPr>
              <w:spacing w:after="0" w:line="264"/>
              <w:jc w:val="left"/>
            </w:pPr>
            <w:r>
              <w:rPr>
                <w:rFonts w:ascii="Calibri" w:cs="Calibri" w:eastAsia="Calibri" w:hAnsi="Calibri"/>
                <w:b/>
                <w:bCs/>
                <w:color w:val="FFFFFF"/>
                <w:sz w:val="18"/>
                <w:szCs w:val="18"/>
              </w:rPr>
              <w:t xml:space="preserve">Heures par an</w:t>
            </w:r>
          </w:p>
        </w:tc>
        <w:tc>
          <w:tcPr>
            <w:tcW w:type="dxa" w:w="4026"/>
            <w:shd w:fill="16256B" w:color="auto" w:val="clear"/>
            <w:tcMar>
              <w:top w:type="dxa" w:w="80"/>
              <w:left w:type="dxa" w:w="120"/>
              <w:bottom w:type="dxa" w:w="80"/>
              <w:right w:type="dxa" w:w="120"/>
            </w:tcMar>
            <w:vAlign w:val="center"/>
          </w:tcPr>
          <w:p>
            <w:pPr>
              <w:spacing w:after="0" w:line="264"/>
              <w:jc w:val="left"/>
            </w:pPr>
            <w:r>
              <w:rPr>
                <w:rFonts w:ascii="Calibri" w:cs="Calibri" w:eastAsia="Calibri" w:hAnsi="Calibri"/>
                <w:b/>
                <w:bCs/>
                <w:color w:val="FFFFFF"/>
                <w:sz w:val="18"/>
                <w:szCs w:val="18"/>
              </w:rPr>
              <w:t xml:space="preserve">Financement du temps</w:t>
            </w:r>
          </w:p>
        </w:tc>
      </w:tr>
      <w:tr>
        <w:trPr>
          <w:cantSplit/>
        </w:trPr>
        <w:tc>
          <w:tcPr>
            <w:tcW w:type="dxa" w:w="2600"/>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Association Mare Durabilis</w:t>
            </w:r>
          </w:p>
        </w:tc>
        <w:tc>
          <w:tcPr>
            <w:tcW w:type="dxa" w:w="1100"/>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0,60 ETP</w:t>
            </w:r>
          </w:p>
        </w:tc>
        <w:tc>
          <w:tcPr>
            <w:tcW w:type="dxa" w:w="1300"/>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environ 964 h</w:t>
            </w:r>
          </w:p>
        </w:tc>
        <w:tc>
          <w:tcPr>
            <w:tcW w:type="dxa" w:w="4026"/>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FEAMPA, 80 % des dépenses éligibles ; le reste par l’association</w:t>
            </w:r>
          </w:p>
        </w:tc>
      </w:tr>
      <w:tr>
        <w:trPr>
          <w:cantSplit/>
        </w:trPr>
        <w:tc>
          <w:tcPr>
            <w:tcW w:type="dxa" w:w="2600"/>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Fonds de dotation Mare Durabilis</w:t>
            </w:r>
          </w:p>
        </w:tc>
        <w:tc>
          <w:tcPr>
            <w:tcW w:type="dxa" w:w="1100"/>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0,20 ETP</w:t>
            </w:r>
          </w:p>
        </w:tc>
        <w:tc>
          <w:tcPr>
            <w:tcW w:type="dxa" w:w="1300"/>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environ 321 h</w:t>
            </w:r>
          </w:p>
        </w:tc>
        <w:tc>
          <w:tcPr>
            <w:tcW w:type="dxa" w:w="4026"/>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Refacturé par l’association au fonds (bloc C, frais de fonctionnement)</w:t>
            </w:r>
          </w:p>
        </w:tc>
      </w:tr>
      <w:tr>
        <w:trPr>
          <w:cantSplit/>
        </w:trPr>
        <w:tc>
          <w:tcPr>
            <w:tcW w:type="dxa" w:w="2600"/>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Mare Services</w:t>
            </w:r>
          </w:p>
        </w:tc>
        <w:tc>
          <w:tcPr>
            <w:tcW w:type="dxa" w:w="1100"/>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0,20 ETP</w:t>
            </w:r>
          </w:p>
        </w:tc>
        <w:tc>
          <w:tcPr>
            <w:tcW w:type="dxa" w:w="1300"/>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environ 321 h</w:t>
            </w:r>
          </w:p>
        </w:tc>
        <w:tc>
          <w:tcPr>
            <w:tcW w:type="dxa" w:w="4026"/>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Refacturé par l’association à Mare Services (charge d’exploitation de la plateforme)</w:t>
            </w:r>
          </w:p>
        </w:tc>
      </w:tr>
    </w:tbl>
    <w:p>
      <w:pPr>
        <w:spacing w:after="120" w:before="120" w:line="276"/>
        <w:jc w:val="both"/>
      </w:pPr>
      <w:r>
        <w:rPr>
          <w:rFonts w:ascii="Calibri" w:cs="Calibri" w:eastAsia="Calibri" w:hAnsi="Calibri"/>
          <w:sz w:val="22"/>
          <w:szCs w:val="22"/>
        </w:rPr>
        <w:t xml:space="preserve">Cette clé est prévisionnelle : c’est le temps réellement passé, relevé chaque semaine, qui fait foi (annexe).</w:t>
      </w:r>
    </w:p>
    <w:p>
      <w:pPr>
        <w:pStyle w:val="Heading1"/>
        <w:keepNext/>
        <w:spacing w:after="160" w:before="360"/>
      </w:pPr>
      <w:r>
        <w:rPr>
          <w:rFonts w:ascii="Calibri" w:cs="Calibri" w:eastAsia="Calibri" w:hAnsi="Calibri"/>
          <w:b/>
          <w:bCs/>
          <w:color w:val="16256B"/>
          <w:sz w:val="30"/>
          <w:szCs w:val="30"/>
        </w:rPr>
        <w:t xml:space="preserve">4. Missions pour l’association — 0,60 ETP</w:t>
      </w:r>
    </w:p>
    <w:p>
      <w:pPr>
        <w:spacing w:after="120" w:before="0" w:line="276"/>
        <w:jc w:val="both"/>
      </w:pPr>
      <w:r>
        <w:rPr>
          <w:rFonts w:ascii="Calibri" w:cs="Calibri" w:eastAsia="Calibri" w:hAnsi="Calibri"/>
          <w:sz w:val="22"/>
          <w:szCs w:val="22"/>
        </w:rPr>
        <w:t xml:space="preserve">Animation, concertation et montage des projets d’intérêt collectif : c’est la part déclarée au FEAMPA.</w:t>
      </w:r>
    </w:p>
    <w:p>
      <w:pPr>
        <w:pStyle w:val="ListParagraph"/>
        <w:numPr>
          <w:ilvl w:val="0"/>
          <w:numId w:val="2"/>
        </w:numPr>
        <w:spacing w:after="100" w:line="276"/>
        <w:jc w:val="both"/>
      </w:pPr>
      <w:r>
        <w:rPr>
          <w:rFonts w:ascii="Calibri" w:cs="Calibri" w:eastAsia="Calibri" w:hAnsi="Calibri"/>
          <w:b/>
          <w:bCs/>
          <w:i w:val="false"/>
          <w:iCs w:val="false"/>
          <w:sz w:val="22"/>
          <w:szCs w:val="22"/>
        </w:rPr>
        <w:t xml:space="preserve">Concertation avec les acteurs extérieurs à l’écosystème</w:t>
      </w:r>
      <w:r>
        <w:rPr>
          <w:rFonts w:ascii="Calibri" w:cs="Calibri" w:eastAsia="Calibri" w:hAnsi="Calibri"/>
          <w:sz w:val="22"/>
          <w:szCs w:val="22"/>
        </w:rPr>
        <w:t xml:space="preserve">, hors fonds de dotation et Mare Services : professionnels de la pêche et leurs organisations, organismes scientifiques, gestionnaires d’espaces protégés, services de l’État, collectivités.</w:t>
      </w:r>
    </w:p>
    <w:p>
      <w:pPr>
        <w:pStyle w:val="ListParagraph"/>
        <w:numPr>
          <w:ilvl w:val="0"/>
          <w:numId w:val="2"/>
        </w:numPr>
        <w:spacing w:after="100" w:line="276"/>
        <w:jc w:val="both"/>
      </w:pPr>
      <w:r>
        <w:rPr>
          <w:rFonts w:ascii="Calibri" w:cs="Calibri" w:eastAsia="Calibri" w:hAnsi="Calibri"/>
          <w:b/>
          <w:bCs/>
          <w:i w:val="false"/>
          <w:iCs w:val="false"/>
          <w:sz w:val="22"/>
          <w:szCs w:val="22"/>
        </w:rPr>
        <w:t xml:space="preserve">Montage et suivi des dossiers de financement public</w:t>
      </w:r>
      <w:r>
        <w:rPr>
          <w:rFonts w:ascii="Calibri" w:cs="Calibri" w:eastAsia="Calibri" w:hAnsi="Calibri"/>
          <w:sz w:val="22"/>
          <w:szCs w:val="22"/>
        </w:rPr>
        <w:t xml:space="preserve"> des projets de l’écosystème Mare Durabilis, dans deux cas :</w:t>
      </w:r>
    </w:p>
    <w:p>
      <w:pPr>
        <w:pStyle w:val="ListParagraph"/>
        <w:numPr>
          <w:ilvl w:val="1"/>
          <w:numId w:val="3"/>
        </w:numPr>
        <w:spacing w:after="80" w:line="276"/>
        <w:jc w:val="both"/>
      </w:pPr>
      <w:r>
        <w:rPr>
          <w:rFonts w:ascii="Calibri" w:cs="Calibri" w:eastAsia="Calibri" w:hAnsi="Calibri"/>
          <w:sz w:val="22"/>
          <w:szCs w:val="22"/>
        </w:rPr>
        <w:t xml:space="preserve">projet porté par un tiers (organisme scientifique, entreprise, structure professionnelle) : accompagnement du porteur dans le montage de son dossier, le fonds pouvant compléter par des fonds privés ;</w:t>
      </w:r>
    </w:p>
    <w:p>
      <w:pPr>
        <w:pStyle w:val="ListParagraph"/>
        <w:numPr>
          <w:ilvl w:val="1"/>
          <w:numId w:val="3"/>
        </w:numPr>
        <w:spacing w:after="80" w:line="276"/>
        <w:jc w:val="both"/>
      </w:pPr>
      <w:r>
        <w:rPr>
          <w:rFonts w:ascii="Calibri" w:cs="Calibri" w:eastAsia="Calibri" w:hAnsi="Calibri"/>
          <w:sz w:val="22"/>
          <w:szCs w:val="22"/>
        </w:rPr>
        <w:t xml:space="preserve">projet mené en propre par Mare Durabilis sur cahier des charges : l’association porte le dossier public quand le projet est éligible, le fonds apportant la part privée ; la rédaction du cahier des charges et le suivi de la prestation relèvent des missions pour le fonds ;</w:t>
      </w:r>
    </w:p>
    <w:p>
      <w:pPr>
        <w:pStyle w:val="ListParagraph"/>
        <w:numPr>
          <w:ilvl w:val="1"/>
          <w:numId w:val="3"/>
        </w:numPr>
        <w:spacing w:after="80" w:line="276"/>
        <w:jc w:val="both"/>
      </w:pPr>
      <w:r>
        <w:rPr>
          <w:rFonts w:ascii="Calibri" w:cs="Calibri" w:eastAsia="Calibri" w:hAnsi="Calibri"/>
          <w:sz w:val="22"/>
          <w:szCs w:val="22"/>
        </w:rPr>
        <w:t xml:space="preserve">dans les deux cas : veille des appels et des dispositifs, rédaction, dépôt, demandes de paiement, suivi jusqu’au versement du solde.</w:t>
      </w:r>
    </w:p>
    <w:p>
      <w:pPr>
        <w:pStyle w:val="ListParagraph"/>
        <w:numPr>
          <w:ilvl w:val="0"/>
          <w:numId w:val="2"/>
        </w:numPr>
        <w:spacing w:after="100" w:line="276"/>
        <w:jc w:val="both"/>
      </w:pPr>
      <w:r>
        <w:rPr>
          <w:rFonts w:ascii="Calibri" w:cs="Calibri" w:eastAsia="Calibri" w:hAnsi="Calibri"/>
          <w:b/>
          <w:bCs/>
          <w:i w:val="false"/>
          <w:iCs w:val="false"/>
          <w:sz w:val="22"/>
          <w:szCs w:val="22"/>
        </w:rPr>
        <w:t xml:space="preserve">Stratégie de l’écosystème</w:t>
      </w:r>
      <w:r>
        <w:rPr>
          <w:rFonts w:ascii="Calibri" w:cs="Calibri" w:eastAsia="Calibri" w:hAnsi="Calibri"/>
          <w:sz w:val="22"/>
          <w:szCs w:val="22"/>
        </w:rPr>
        <w:t xml:space="preserve"> : note stratégique et modèle économique, articulation entre les trois structures, plan d’action pluriannuel, rapport d’activité de l’association.</w:t>
      </w:r>
    </w:p>
    <w:p>
      <w:pPr>
        <w:pStyle w:val="ListParagraph"/>
        <w:numPr>
          <w:ilvl w:val="0"/>
          <w:numId w:val="2"/>
        </w:numPr>
        <w:spacing w:after="100" w:line="276"/>
        <w:jc w:val="both"/>
      </w:pPr>
      <w:r>
        <w:rPr>
          <w:rFonts w:ascii="Calibri" w:cs="Calibri" w:eastAsia="Calibri" w:hAnsi="Calibri"/>
          <w:b/>
          <w:bCs/>
          <w:i w:val="false"/>
          <w:iCs w:val="false"/>
          <w:sz w:val="22"/>
          <w:szCs w:val="22"/>
        </w:rPr>
        <w:t xml:space="preserve">Gouvernance de l’association</w:t>
      </w:r>
      <w:r>
        <w:rPr>
          <w:rFonts w:ascii="Calibri" w:cs="Calibri" w:eastAsia="Calibri" w:hAnsi="Calibri"/>
          <w:sz w:val="22"/>
          <w:szCs w:val="22"/>
        </w:rPr>
        <w:t xml:space="preserve"> : mise en place et animation de son conseil d’administration et de comités restreints, sur le modèle simplifié de la gouvernance du fonds et en coordination avec elle (préparation, secrétariat, suivi des décisions).</w:t>
      </w:r>
    </w:p>
    <w:p>
      <w:pPr>
        <w:pStyle w:val="ListParagraph"/>
        <w:numPr>
          <w:ilvl w:val="0"/>
          <w:numId w:val="2"/>
        </w:numPr>
        <w:spacing w:after="100" w:line="276"/>
        <w:jc w:val="both"/>
      </w:pPr>
      <w:r>
        <w:rPr>
          <w:rFonts w:ascii="Calibri" w:cs="Calibri" w:eastAsia="Calibri" w:hAnsi="Calibri"/>
          <w:b/>
          <w:bCs/>
          <w:i w:val="false"/>
          <w:iCs w:val="false"/>
          <w:sz w:val="22"/>
          <w:szCs w:val="22"/>
        </w:rPr>
        <w:t xml:space="preserve">Diffusion des connaissances</w:t>
      </w:r>
      <w:r>
        <w:rPr>
          <w:rFonts w:ascii="Calibri" w:cs="Calibri" w:eastAsia="Calibri" w:hAnsi="Calibri"/>
          <w:sz w:val="22"/>
          <w:szCs w:val="22"/>
        </w:rPr>
        <w:t xml:space="preserve"> auprès du grand public et des acteurs : site, contenus pédagogiques, restitutions.</w:t>
      </w:r>
    </w:p>
    <w:p>
      <w:pPr>
        <w:pStyle w:val="ListParagraph"/>
        <w:numPr>
          <w:ilvl w:val="0"/>
          <w:numId w:val="2"/>
        </w:numPr>
        <w:spacing w:after="100" w:line="276"/>
        <w:jc w:val="both"/>
      </w:pPr>
      <w:r>
        <w:rPr>
          <w:rFonts w:ascii="Calibri" w:cs="Calibri" w:eastAsia="Calibri" w:hAnsi="Calibri"/>
          <w:b/>
          <w:bCs/>
          <w:i w:val="false"/>
          <w:iCs w:val="false"/>
          <w:sz w:val="22"/>
          <w:szCs w:val="22"/>
        </w:rPr>
        <w:t xml:space="preserve">Représentation</w:t>
      </w:r>
      <w:r>
        <w:rPr>
          <w:rFonts w:ascii="Calibri" w:cs="Calibri" w:eastAsia="Calibri" w:hAnsi="Calibri"/>
          <w:sz w:val="22"/>
          <w:szCs w:val="22"/>
        </w:rPr>
        <w:t xml:space="preserve"> de l’écosystème auprès des partenaires, des financeurs et dans les instances professionnelles et institutionnelles.</w:t>
      </w:r>
    </w:p>
    <w:p>
      <w:pPr>
        <w:pStyle w:val="ListParagraph"/>
        <w:numPr>
          <w:ilvl w:val="0"/>
          <w:numId w:val="2"/>
        </w:numPr>
        <w:spacing w:after="100" w:line="276"/>
        <w:jc w:val="both"/>
      </w:pPr>
      <w:r>
        <w:rPr>
          <w:rFonts w:ascii="Calibri" w:cs="Calibri" w:eastAsia="Calibri" w:hAnsi="Calibri"/>
          <w:b/>
          <w:bCs/>
          <w:i w:val="false"/>
          <w:iCs w:val="false"/>
          <w:sz w:val="22"/>
          <w:szCs w:val="22"/>
        </w:rPr>
        <w:t xml:space="preserve">Gestion administrative et financière de l’association</w:t>
      </w:r>
      <w:r>
        <w:rPr>
          <w:rFonts w:ascii="Calibri" w:cs="Calibri" w:eastAsia="Calibri" w:hAnsi="Calibri"/>
          <w:sz w:val="22"/>
          <w:szCs w:val="22"/>
        </w:rPr>
        <w:t xml:space="preserve"> :</w:t>
      </w:r>
    </w:p>
    <w:p>
      <w:pPr>
        <w:pStyle w:val="ListParagraph"/>
        <w:numPr>
          <w:ilvl w:val="1"/>
          <w:numId w:val="3"/>
        </w:numPr>
        <w:spacing w:after="80" w:line="276"/>
        <w:jc w:val="both"/>
      </w:pPr>
      <w:r>
        <w:rPr>
          <w:rFonts w:ascii="Calibri" w:cs="Calibri" w:eastAsia="Calibri" w:hAnsi="Calibri"/>
          <w:sz w:val="22"/>
          <w:szCs w:val="22"/>
        </w:rPr>
        <w:t xml:space="preserve">comptabilité courante : classement des pièces, saisie ou transmission, lien avec l’expert-comptable, clôture annuelle ;</w:t>
      </w:r>
    </w:p>
    <w:p>
      <w:pPr>
        <w:pStyle w:val="ListParagraph"/>
        <w:numPr>
          <w:ilvl w:val="1"/>
          <w:numId w:val="3"/>
        </w:numPr>
        <w:spacing w:after="80" w:line="276"/>
        <w:jc w:val="both"/>
      </w:pPr>
      <w:r>
        <w:rPr>
          <w:rFonts w:ascii="Calibri" w:cs="Calibri" w:eastAsia="Calibri" w:hAnsi="Calibri"/>
          <w:sz w:val="22"/>
          <w:szCs w:val="22"/>
        </w:rPr>
        <w:t xml:space="preserve">budget et suivi budgétaire, demandes de paiement FEAMPA, trésorerie et avance du Crédit Maritime ;</w:t>
      </w:r>
    </w:p>
    <w:p>
      <w:pPr>
        <w:pStyle w:val="ListParagraph"/>
        <w:numPr>
          <w:ilvl w:val="1"/>
          <w:numId w:val="3"/>
        </w:numPr>
        <w:spacing w:after="80" w:line="276"/>
        <w:jc w:val="both"/>
      </w:pPr>
      <w:r>
        <w:rPr>
          <w:rFonts w:ascii="Calibri" w:cs="Calibri" w:eastAsia="Calibri" w:hAnsi="Calibri"/>
          <w:sz w:val="22"/>
          <w:szCs w:val="22"/>
        </w:rPr>
        <w:t xml:space="preserve">compte bancaire : paiements, encaissements, rapprochements, relation avec la banque ;</w:t>
      </w:r>
    </w:p>
    <w:p>
      <w:pPr>
        <w:pStyle w:val="ListParagraph"/>
        <w:numPr>
          <w:ilvl w:val="1"/>
          <w:numId w:val="3"/>
        </w:numPr>
        <w:spacing w:after="80" w:line="276"/>
        <w:jc w:val="both"/>
      </w:pPr>
      <w:r>
        <w:rPr>
          <w:rFonts w:ascii="Calibri" w:cs="Calibri" w:eastAsia="Calibri" w:hAnsi="Calibri"/>
          <w:sz w:val="22"/>
          <w:szCs w:val="22"/>
        </w:rPr>
        <w:t xml:space="preserve">facturation des refacturations au fonds et à Mare Services ;</w:t>
      </w:r>
    </w:p>
    <w:p>
      <w:pPr>
        <w:pStyle w:val="ListParagraph"/>
        <w:numPr>
          <w:ilvl w:val="1"/>
          <w:numId w:val="3"/>
        </w:numPr>
        <w:spacing w:after="80" w:line="276"/>
        <w:jc w:val="both"/>
      </w:pPr>
      <w:r>
        <w:rPr>
          <w:rFonts w:ascii="Calibri" w:cs="Calibri" w:eastAsia="Calibri" w:hAnsi="Calibri"/>
          <w:sz w:val="22"/>
          <w:szCs w:val="22"/>
        </w:rPr>
        <w:t xml:space="preserve">gestion des ressources : abonnements et logiciels, assurances, fournisseurs, bureau et matériel mis à disposition ;</w:t>
      </w:r>
    </w:p>
    <w:p>
      <w:pPr>
        <w:pStyle w:val="ListParagraph"/>
        <w:numPr>
          <w:ilvl w:val="1"/>
          <w:numId w:val="3"/>
        </w:numPr>
        <w:spacing w:after="80" w:line="276"/>
        <w:jc w:val="both"/>
      </w:pPr>
      <w:r>
        <w:rPr>
          <w:rFonts w:ascii="Calibri" w:cs="Calibri" w:eastAsia="Calibri" w:hAnsi="Calibri"/>
          <w:sz w:val="22"/>
          <w:szCs w:val="22"/>
        </w:rPr>
        <w:t xml:space="preserve">obligations sociales et fiscales de l’employeur avec l’expert-comptable (paie, déclarations), feuilles de temps.</w:t>
      </w:r>
    </w:p>
    <w:p>
      <w:pPr>
        <w:pStyle w:val="Heading1"/>
        <w:keepNext/>
        <w:spacing w:after="160" w:before="360"/>
      </w:pPr>
      <w:r>
        <w:rPr>
          <w:rFonts w:ascii="Calibri" w:cs="Calibri" w:eastAsia="Calibri" w:hAnsi="Calibri"/>
          <w:b/>
          <w:bCs/>
          <w:color w:val="16256B"/>
          <w:sz w:val="30"/>
          <w:szCs w:val="30"/>
        </w:rPr>
        <w:t xml:space="preserve">5. Missions pour le fonds de dotation — 0,20 ETP</w:t>
      </w:r>
    </w:p>
    <w:p>
      <w:pPr>
        <w:spacing w:after="120" w:before="0" w:line="276"/>
        <w:jc w:val="both"/>
      </w:pPr>
      <w:r>
        <w:rPr>
          <w:rFonts w:ascii="Calibri" w:cs="Calibri" w:eastAsia="Calibri" w:hAnsi="Calibri"/>
          <w:sz w:val="22"/>
          <w:szCs w:val="22"/>
        </w:rPr>
        <w:t xml:space="preserve">Faire fonctionner le fonds : tout ce qui le sert lui-même, refacturé par l’association.</w:t>
      </w:r>
    </w:p>
    <w:p>
      <w:pPr>
        <w:pStyle w:val="ListParagraph"/>
        <w:numPr>
          <w:ilvl w:val="0"/>
          <w:numId w:val="4"/>
        </w:numPr>
        <w:spacing w:after="100" w:line="276"/>
        <w:jc w:val="both"/>
      </w:pPr>
      <w:r>
        <w:rPr>
          <w:rFonts w:ascii="Calibri" w:cs="Calibri" w:eastAsia="Calibri" w:hAnsi="Calibri"/>
          <w:b/>
          <w:bCs/>
          <w:i w:val="false"/>
          <w:iCs w:val="false"/>
          <w:sz w:val="22"/>
          <w:szCs w:val="22"/>
        </w:rPr>
        <w:t xml:space="preserve">Animation des trois comités consultatifs du fonds</w:t>
      </w:r>
      <w:r>
        <w:rPr>
          <w:rFonts w:ascii="Calibri" w:cs="Calibri" w:eastAsia="Calibri" w:hAnsi="Calibri"/>
          <w:sz w:val="22"/>
          <w:szCs w:val="22"/>
        </w:rPr>
        <w:t xml:space="preserve"> — comité des pêcheurs, comité scientifique, comité des partenaires économiques et institutionnels : préparation, secrétariat, consolidation des avis.</w:t>
      </w:r>
    </w:p>
    <w:p>
      <w:pPr>
        <w:pStyle w:val="ListParagraph"/>
        <w:numPr>
          <w:ilvl w:val="0"/>
          <w:numId w:val="4"/>
        </w:numPr>
        <w:spacing w:after="100" w:line="276"/>
        <w:jc w:val="both"/>
      </w:pPr>
      <w:r>
        <w:rPr>
          <w:rFonts w:ascii="Calibri" w:cs="Calibri" w:eastAsia="Calibri" w:hAnsi="Calibri"/>
          <w:b/>
          <w:bCs/>
          <w:i w:val="false"/>
          <w:iCs w:val="false"/>
          <w:sz w:val="22"/>
          <w:szCs w:val="22"/>
        </w:rPr>
        <w:t xml:space="preserve">Conseil d’administration</w:t>
      </w:r>
      <w:r>
        <w:rPr>
          <w:rFonts w:ascii="Calibri" w:cs="Calibri" w:eastAsia="Calibri" w:hAnsi="Calibri"/>
          <w:sz w:val="22"/>
          <w:szCs w:val="22"/>
        </w:rPr>
        <w:t xml:space="preserve"> : préparation des séances et des délibérations, suivi des décisions.</w:t>
      </w:r>
    </w:p>
    <w:p>
      <w:pPr>
        <w:pStyle w:val="ListParagraph"/>
        <w:numPr>
          <w:ilvl w:val="0"/>
          <w:numId w:val="4"/>
        </w:numPr>
        <w:spacing w:after="100" w:line="276"/>
        <w:jc w:val="both"/>
      </w:pPr>
      <w:r>
        <w:rPr>
          <w:rFonts w:ascii="Calibri" w:cs="Calibri" w:eastAsia="Calibri" w:hAnsi="Calibri"/>
          <w:b/>
          <w:bCs/>
          <w:i w:val="false"/>
          <w:iCs w:val="false"/>
          <w:sz w:val="22"/>
          <w:szCs w:val="22"/>
        </w:rPr>
        <w:t xml:space="preserve">Stratégie du fonds</w:t>
      </w:r>
      <w:r>
        <w:rPr>
          <w:rFonts w:ascii="Calibri" w:cs="Calibri" w:eastAsia="Calibri" w:hAnsi="Calibri"/>
          <w:sz w:val="22"/>
          <w:szCs w:val="22"/>
        </w:rPr>
        <w:t xml:space="preserve"> : programmes d’action et doctrine d’intervention, budget pluriannuel, planning financier, propositions d’allocation des ressources au conseil.</w:t>
      </w:r>
    </w:p>
    <w:p>
      <w:pPr>
        <w:pStyle w:val="ListParagraph"/>
        <w:numPr>
          <w:ilvl w:val="0"/>
          <w:numId w:val="4"/>
        </w:numPr>
        <w:spacing w:after="100" w:line="276"/>
        <w:jc w:val="both"/>
      </w:pPr>
      <w:r>
        <w:rPr>
          <w:rFonts w:ascii="Calibri" w:cs="Calibri" w:eastAsia="Calibri" w:hAnsi="Calibri"/>
          <w:b/>
          <w:bCs/>
          <w:i w:val="false"/>
          <w:iCs w:val="false"/>
          <w:sz w:val="22"/>
          <w:szCs w:val="22"/>
        </w:rPr>
        <w:t xml:space="preserve">Appels à projets et projets menés en propre</w:t>
      </w:r>
      <w:r>
        <w:rPr>
          <w:rFonts w:ascii="Calibri" w:cs="Calibri" w:eastAsia="Calibri" w:hAnsi="Calibri"/>
          <w:sz w:val="22"/>
          <w:szCs w:val="22"/>
        </w:rPr>
        <w:t xml:space="preserve"> : rédaction des cahiers des charges, instruction des candidatures, recueil des avis des comités, commande et suivi des prestations des projets menés en propre.</w:t>
      </w:r>
    </w:p>
    <w:p>
      <w:pPr>
        <w:pStyle w:val="ListParagraph"/>
        <w:numPr>
          <w:ilvl w:val="0"/>
          <w:numId w:val="4"/>
        </w:numPr>
        <w:spacing w:after="100" w:line="276"/>
        <w:jc w:val="both"/>
      </w:pPr>
      <w:r>
        <w:rPr>
          <w:rFonts w:ascii="Calibri" w:cs="Calibri" w:eastAsia="Calibri" w:hAnsi="Calibri"/>
          <w:b/>
          <w:bCs/>
          <w:i w:val="false"/>
          <w:iCs w:val="false"/>
          <w:sz w:val="22"/>
          <w:szCs w:val="22"/>
        </w:rPr>
        <w:t xml:space="preserve">Recherche de mécènes</w:t>
      </w:r>
      <w:r>
        <w:rPr>
          <w:rFonts w:ascii="Calibri" w:cs="Calibri" w:eastAsia="Calibri" w:hAnsi="Calibri"/>
          <w:sz w:val="22"/>
          <w:szCs w:val="22"/>
        </w:rPr>
        <w:t xml:space="preserve"> : levées de fonds, dossiers auprès des fondations, relations avec les mécènes, outils de collecte (site de la fondation, présentation, suivi des donateurs).</w:t>
      </w:r>
    </w:p>
    <w:p>
      <w:pPr>
        <w:pStyle w:val="ListParagraph"/>
        <w:numPr>
          <w:ilvl w:val="0"/>
          <w:numId w:val="4"/>
        </w:numPr>
        <w:spacing w:after="100" w:line="276"/>
        <w:jc w:val="both"/>
      </w:pPr>
      <w:r>
        <w:rPr>
          <w:rFonts w:ascii="Calibri" w:cs="Calibri" w:eastAsia="Calibri" w:hAnsi="Calibri"/>
          <w:b/>
          <w:bCs/>
          <w:i w:val="false"/>
          <w:iCs w:val="false"/>
          <w:sz w:val="22"/>
          <w:szCs w:val="22"/>
        </w:rPr>
        <w:t xml:space="preserve">Suivi des conventions</w:t>
      </w:r>
      <w:r>
        <w:rPr>
          <w:rFonts w:ascii="Calibri" w:cs="Calibri" w:eastAsia="Calibri" w:hAnsi="Calibri"/>
          <w:sz w:val="22"/>
          <w:szCs w:val="22"/>
        </w:rPr>
        <w:t xml:space="preserve"> et compte rendu d’emploi des fonds aux mécènes ; rapport annuel d’activité.</w:t>
      </w:r>
    </w:p>
    <w:p>
      <w:pPr>
        <w:pStyle w:val="ListParagraph"/>
        <w:numPr>
          <w:ilvl w:val="0"/>
          <w:numId w:val="4"/>
        </w:numPr>
        <w:spacing w:after="100" w:line="276"/>
        <w:jc w:val="both"/>
      </w:pPr>
      <w:r>
        <w:rPr>
          <w:rFonts w:ascii="Calibri" w:cs="Calibri" w:eastAsia="Calibri" w:hAnsi="Calibri"/>
          <w:b/>
          <w:bCs/>
          <w:i w:val="false"/>
          <w:iCs w:val="false"/>
          <w:sz w:val="22"/>
          <w:szCs w:val="22"/>
        </w:rPr>
        <w:t xml:space="preserve">Gestion administrative et financière du fonds</w:t>
      </w:r>
      <w:r>
        <w:rPr>
          <w:rFonts w:ascii="Calibri" w:cs="Calibri" w:eastAsia="Calibri" w:hAnsi="Calibri"/>
          <w:sz w:val="22"/>
          <w:szCs w:val="22"/>
        </w:rPr>
        <w:t xml:space="preserve"> :</w:t>
      </w:r>
    </w:p>
    <w:p>
      <w:pPr>
        <w:pStyle w:val="ListParagraph"/>
        <w:numPr>
          <w:ilvl w:val="1"/>
          <w:numId w:val="3"/>
        </w:numPr>
        <w:spacing w:after="80" w:line="276"/>
        <w:jc w:val="both"/>
      </w:pPr>
      <w:r>
        <w:rPr>
          <w:rFonts w:ascii="Calibri" w:cs="Calibri" w:eastAsia="Calibri" w:hAnsi="Calibri"/>
          <w:sz w:val="22"/>
          <w:szCs w:val="22"/>
        </w:rPr>
        <w:t xml:space="preserve">comptabilité et comptes annuels avec l’expert-comptable et le commissaire aux comptes, envoi annuel du rapport d’activité et des comptes à la préfecture ;</w:t>
      </w:r>
    </w:p>
    <w:p>
      <w:pPr>
        <w:pStyle w:val="ListParagraph"/>
        <w:numPr>
          <w:ilvl w:val="1"/>
          <w:numId w:val="3"/>
        </w:numPr>
        <w:spacing w:after="80" w:line="276"/>
        <w:jc w:val="both"/>
      </w:pPr>
      <w:r>
        <w:rPr>
          <w:rFonts w:ascii="Calibri" w:cs="Calibri" w:eastAsia="Calibri" w:hAnsi="Calibri"/>
          <w:sz w:val="22"/>
          <w:szCs w:val="22"/>
        </w:rPr>
        <w:t xml:space="preserve">compte bancaire et placement de la dotation : paiements, rapprochements, suivi des placements ;</w:t>
      </w:r>
    </w:p>
    <w:p>
      <w:pPr>
        <w:pStyle w:val="ListParagraph"/>
        <w:numPr>
          <w:ilvl w:val="1"/>
          <w:numId w:val="3"/>
        </w:numPr>
        <w:spacing w:after="80" w:line="276"/>
        <w:jc w:val="both"/>
      </w:pPr>
      <w:r>
        <w:rPr>
          <w:rFonts w:ascii="Calibri" w:cs="Calibri" w:eastAsia="Calibri" w:hAnsi="Calibri"/>
          <w:sz w:val="22"/>
          <w:szCs w:val="22"/>
        </w:rPr>
        <w:t xml:space="preserve">reçus fiscaux et registre des dons ;</w:t>
      </w:r>
    </w:p>
    <w:p>
      <w:pPr>
        <w:pStyle w:val="ListParagraph"/>
        <w:numPr>
          <w:ilvl w:val="1"/>
          <w:numId w:val="3"/>
        </w:numPr>
        <w:spacing w:after="80" w:line="276"/>
        <w:jc w:val="both"/>
      </w:pPr>
      <w:r>
        <w:rPr>
          <w:rFonts w:ascii="Calibri" w:cs="Calibri" w:eastAsia="Calibri" w:hAnsi="Calibri"/>
          <w:sz w:val="22"/>
          <w:szCs w:val="22"/>
        </w:rPr>
        <w:t xml:space="preserve">gestion des ressources du fonds : bail et locaux mis à disposition, mobilier, assurances, abonnements ;</w:t>
      </w:r>
    </w:p>
    <w:p>
      <w:pPr>
        <w:pStyle w:val="ListParagraph"/>
        <w:numPr>
          <w:ilvl w:val="1"/>
          <w:numId w:val="3"/>
        </w:numPr>
        <w:spacing w:after="80" w:line="276"/>
        <w:jc w:val="both"/>
      </w:pPr>
      <w:r>
        <w:rPr>
          <w:rFonts w:ascii="Calibri" w:cs="Calibri" w:eastAsia="Calibri" w:hAnsi="Calibri"/>
          <w:sz w:val="22"/>
          <w:szCs w:val="22"/>
        </w:rPr>
        <w:t xml:space="preserve">déclarations en préfecture (modification des statuts, des administrateurs).</w:t>
      </w:r>
    </w:p>
    <w:p>
      <w:pPr>
        <w:spacing w:after="120" w:before="80" w:line="276"/>
        <w:jc w:val="both"/>
      </w:pPr>
      <w:r>
        <w:rPr>
          <w:rFonts w:ascii="Calibri" w:cs="Calibri" w:eastAsia="Calibri" w:hAnsi="Calibri"/>
          <w:b w:val="false"/>
          <w:bCs w:val="false"/>
          <w:i/>
          <w:iCs/>
          <w:sz w:val="22"/>
          <w:szCs w:val="22"/>
        </w:rPr>
        <w:t xml:space="preserve">La collecte privée du fonds n’est jamais déclarée au FEAMPA.</w:t>
      </w:r>
    </w:p>
    <w:p>
      <w:pPr>
        <w:pStyle w:val="Heading1"/>
        <w:keepNext/>
        <w:spacing w:after="160" w:before="360"/>
      </w:pPr>
      <w:r>
        <w:rPr>
          <w:rFonts w:ascii="Calibri" w:cs="Calibri" w:eastAsia="Calibri" w:hAnsi="Calibri"/>
          <w:b/>
          <w:bCs/>
          <w:color w:val="16256B"/>
          <w:sz w:val="30"/>
          <w:szCs w:val="30"/>
        </w:rPr>
        <w:t xml:space="preserve">6. Missions pour Mare Services — 0,20 ETP</w:t>
      </w:r>
    </w:p>
    <w:p>
      <w:pPr>
        <w:spacing w:after="120" w:before="0" w:line="276"/>
        <w:jc w:val="both"/>
      </w:pPr>
      <w:r>
        <w:rPr>
          <w:rFonts w:ascii="Calibri" w:cs="Calibri" w:eastAsia="Calibri" w:hAnsi="Calibri"/>
          <w:sz w:val="22"/>
          <w:szCs w:val="22"/>
        </w:rPr>
        <w:t xml:space="preserve">Faire tourner la plateforme : tout ce qu’elle facture ou livre, refacturé par l’association.</w:t>
      </w:r>
    </w:p>
    <w:p>
      <w:pPr>
        <w:pStyle w:val="ListParagraph"/>
        <w:numPr>
          <w:ilvl w:val="0"/>
          <w:numId w:val="5"/>
        </w:numPr>
        <w:spacing w:after="100" w:line="276"/>
        <w:jc w:val="both"/>
      </w:pPr>
      <w:r>
        <w:rPr>
          <w:rFonts w:ascii="Calibri" w:cs="Calibri" w:eastAsia="Calibri" w:hAnsi="Calibri"/>
          <w:b/>
          <w:bCs/>
          <w:i w:val="false"/>
          <w:iCs w:val="false"/>
          <w:sz w:val="22"/>
          <w:szCs w:val="22"/>
        </w:rPr>
        <w:t xml:space="preserve">Recrutement des pêcheurs</w:t>
      </w:r>
      <w:r>
        <w:rPr>
          <w:rFonts w:ascii="Calibri" w:cs="Calibri" w:eastAsia="Calibri" w:hAnsi="Calibri"/>
          <w:sz w:val="22"/>
          <w:szCs w:val="22"/>
        </w:rPr>
        <w:t xml:space="preserve"> : convaincre les professionnels de s’inscrire (réunions portuaires, rendez-vous individuels), accompagnement à l’inscription, vérification des pièces (permis, assurances, autorisations de pesca-tourisme).</w:t>
      </w:r>
    </w:p>
    <w:p>
      <w:pPr>
        <w:pStyle w:val="ListParagraph"/>
        <w:numPr>
          <w:ilvl w:val="0"/>
          <w:numId w:val="5"/>
        </w:numPr>
        <w:spacing w:after="100" w:line="276"/>
        <w:jc w:val="both"/>
      </w:pPr>
      <w:r>
        <w:rPr>
          <w:rFonts w:ascii="Calibri" w:cs="Calibri" w:eastAsia="Calibri" w:hAnsi="Calibri"/>
          <w:b/>
          <w:bCs/>
          <w:i w:val="false"/>
          <w:iCs w:val="false"/>
          <w:sz w:val="22"/>
          <w:szCs w:val="22"/>
        </w:rPr>
        <w:t xml:space="preserve">Développement commercial</w:t>
      </w:r>
      <w:r>
        <w:rPr>
          <w:rFonts w:ascii="Calibri" w:cs="Calibri" w:eastAsia="Calibri" w:hAnsi="Calibri"/>
          <w:sz w:val="22"/>
          <w:szCs w:val="22"/>
        </w:rPr>
        <w:t xml:space="preserve"> : prospection des organismes scientifiques, bureaux d’études et acteurs du tourisme ; devis et prises de commande.</w:t>
      </w:r>
    </w:p>
    <w:p>
      <w:pPr>
        <w:pStyle w:val="ListParagraph"/>
        <w:numPr>
          <w:ilvl w:val="0"/>
          <w:numId w:val="5"/>
        </w:numPr>
        <w:spacing w:after="100" w:line="276"/>
        <w:jc w:val="both"/>
      </w:pPr>
      <w:r>
        <w:rPr>
          <w:rFonts w:ascii="Calibri" w:cs="Calibri" w:eastAsia="Calibri" w:hAnsi="Calibri"/>
          <w:b/>
          <w:bCs/>
          <w:i w:val="false"/>
          <w:iCs w:val="false"/>
          <w:sz w:val="22"/>
          <w:szCs w:val="22"/>
        </w:rPr>
        <w:t xml:space="preserve">Gestion des missions</w:t>
      </w:r>
      <w:r>
        <w:rPr>
          <w:rFonts w:ascii="Calibri" w:cs="Calibri" w:eastAsia="Calibri" w:hAnsi="Calibri"/>
          <w:sz w:val="22"/>
          <w:szCs w:val="22"/>
        </w:rPr>
        <w:t xml:space="preserve"> : publication, recueil des candidatures, attribution, suivi d’exécution.</w:t>
      </w:r>
    </w:p>
    <w:p>
      <w:pPr>
        <w:pStyle w:val="ListParagraph"/>
        <w:numPr>
          <w:ilvl w:val="0"/>
          <w:numId w:val="5"/>
        </w:numPr>
        <w:spacing w:after="100" w:line="276"/>
        <w:jc w:val="both"/>
      </w:pPr>
      <w:r>
        <w:rPr>
          <w:rFonts w:ascii="Calibri" w:cs="Calibri" w:eastAsia="Calibri" w:hAnsi="Calibri"/>
          <w:b/>
          <w:bCs/>
          <w:i w:val="false"/>
          <w:iCs w:val="false"/>
          <w:sz w:val="22"/>
          <w:szCs w:val="22"/>
        </w:rPr>
        <w:t xml:space="preserve">Back-office</w:t>
      </w:r>
      <w:r>
        <w:rPr>
          <w:rFonts w:ascii="Calibri" w:cs="Calibri" w:eastAsia="Calibri" w:hAnsi="Calibri"/>
          <w:sz w:val="22"/>
          <w:szCs w:val="22"/>
        </w:rPr>
        <w:t xml:space="preserve"> : validation des comptes, réservations et plannings, réclamations, encaissement des clients, versement aux pêcheurs, suivi de l’épargne confiée au fonds.</w:t>
      </w:r>
    </w:p>
    <w:p>
      <w:pPr>
        <w:pStyle w:val="ListParagraph"/>
        <w:numPr>
          <w:ilvl w:val="0"/>
          <w:numId w:val="5"/>
        </w:numPr>
        <w:spacing w:after="100" w:line="276"/>
        <w:jc w:val="both"/>
      </w:pPr>
      <w:r>
        <w:rPr>
          <w:rFonts w:ascii="Calibri" w:cs="Calibri" w:eastAsia="Calibri" w:hAnsi="Calibri"/>
          <w:b/>
          <w:bCs/>
          <w:i w:val="false"/>
          <w:iCs w:val="false"/>
          <w:sz w:val="22"/>
          <w:szCs w:val="22"/>
        </w:rPr>
        <w:t xml:space="preserve">Relation client et facturation.</w:t>
      </w:r>
    </w:p>
    <w:p>
      <w:pPr>
        <w:pStyle w:val="ListParagraph"/>
        <w:numPr>
          <w:ilvl w:val="0"/>
          <w:numId w:val="5"/>
        </w:numPr>
        <w:spacing w:after="100" w:line="276"/>
        <w:jc w:val="both"/>
      </w:pPr>
      <w:r>
        <w:rPr>
          <w:rFonts w:ascii="Calibri" w:cs="Calibri" w:eastAsia="Calibri" w:hAnsi="Calibri"/>
          <w:b/>
          <w:bCs/>
          <w:i w:val="false"/>
          <w:iCs w:val="false"/>
          <w:sz w:val="22"/>
          <w:szCs w:val="22"/>
        </w:rPr>
        <w:t xml:space="preserve">Gestion de la plateforme</w:t>
      </w:r>
      <w:r>
        <w:rPr>
          <w:rFonts w:ascii="Calibri" w:cs="Calibri" w:eastAsia="Calibri" w:hAnsi="Calibri"/>
          <w:sz w:val="22"/>
          <w:szCs w:val="22"/>
        </w:rPr>
        <w:t xml:space="preserve"> : outils et abonnements (Vercel, Supabase, Brevo, Stripe), évolutions du site, conditions générales, protection des données personnelles.</w:t>
      </w:r>
    </w:p>
    <w:p>
      <w:pPr>
        <w:pStyle w:val="ListParagraph"/>
        <w:numPr>
          <w:ilvl w:val="0"/>
          <w:numId w:val="5"/>
        </w:numPr>
        <w:spacing w:after="100" w:line="276"/>
        <w:jc w:val="both"/>
      </w:pPr>
      <w:r>
        <w:rPr>
          <w:rFonts w:ascii="Calibri" w:cs="Calibri" w:eastAsia="Calibri" w:hAnsi="Calibri"/>
          <w:b/>
          <w:bCs/>
          <w:i w:val="false"/>
          <w:iCs w:val="false"/>
          <w:sz w:val="22"/>
          <w:szCs w:val="22"/>
        </w:rPr>
        <w:t xml:space="preserve">Gestion administrative et financière de la structure</w:t>
      </w:r>
      <w:r>
        <w:rPr>
          <w:rFonts w:ascii="Calibri" w:cs="Calibri" w:eastAsia="Calibri" w:hAnsi="Calibri"/>
          <w:sz w:val="22"/>
          <w:szCs w:val="22"/>
        </w:rPr>
        <w:t xml:space="preserve"> : compte bancaire, comptabilité et lien avec l’expert-comptable, tableau de bord de l’activité.</w:t>
      </w:r>
    </w:p>
    <w:p>
      <w:pPr>
        <w:pStyle w:val="Heading1"/>
        <w:keepNext/>
        <w:spacing w:after="160" w:before="360"/>
      </w:pPr>
      <w:r>
        <w:rPr>
          <w:rFonts w:ascii="Calibri" w:cs="Calibri" w:eastAsia="Calibri" w:hAnsi="Calibri"/>
          <w:b/>
          <w:bCs/>
          <w:color w:val="16256B"/>
          <w:sz w:val="30"/>
          <w:szCs w:val="30"/>
        </w:rPr>
        <w:t xml:space="preserve">7. Règle d’imputation du temps</w:t>
      </w:r>
    </w:p>
    <w:p>
      <w:pPr>
        <w:spacing w:after="120" w:before="0" w:line="276"/>
        <w:jc w:val="both"/>
      </w:pPr>
      <w:r>
        <w:rPr>
          <w:rFonts w:ascii="Calibri" w:cs="Calibri" w:eastAsia="Calibri" w:hAnsi="Calibri"/>
          <w:sz w:val="22"/>
          <w:szCs w:val="22"/>
        </w:rPr>
        <w:t xml:space="preserve">Chaque heure est imputée à la structure à qui profite le livrable.</w:t>
      </w:r>
    </w:p>
    <w:p>
      <w:pPr>
        <w:pStyle w:val="ListParagraph"/>
        <w:numPr>
          <w:ilvl w:val="0"/>
          <w:numId w:val="3"/>
        </w:numPr>
        <w:spacing w:after="80" w:line="276"/>
        <w:jc w:val="both"/>
      </w:pPr>
      <w:r>
        <w:rPr>
          <w:rFonts w:ascii="Calibri" w:cs="Calibri" w:eastAsia="Calibri" w:hAnsi="Calibri"/>
          <w:sz w:val="22"/>
          <w:szCs w:val="22"/>
        </w:rPr>
        <w:t xml:space="preserve">Un appel à projets du fonds se compte au fonds.</w:t>
      </w:r>
    </w:p>
    <w:p>
      <w:pPr>
        <w:pStyle w:val="ListParagraph"/>
        <w:numPr>
          <w:ilvl w:val="0"/>
          <w:numId w:val="3"/>
        </w:numPr>
        <w:spacing w:after="80" w:line="276"/>
        <w:jc w:val="both"/>
      </w:pPr>
      <w:r>
        <w:rPr>
          <w:rFonts w:ascii="Calibri" w:cs="Calibri" w:eastAsia="Calibri" w:hAnsi="Calibri"/>
          <w:sz w:val="22"/>
          <w:szCs w:val="22"/>
        </w:rPr>
        <w:t xml:space="preserve">Le dossier de subvention publique d’un projet de l’écosystème se compte à l’association, même si le fonds en complète le financement.</w:t>
      </w:r>
    </w:p>
    <w:p>
      <w:pPr>
        <w:pStyle w:val="ListParagraph"/>
        <w:numPr>
          <w:ilvl w:val="0"/>
          <w:numId w:val="3"/>
        </w:numPr>
        <w:spacing w:after="80" w:line="276"/>
        <w:jc w:val="both"/>
      </w:pPr>
      <w:r>
        <w:rPr>
          <w:rFonts w:ascii="Calibri" w:cs="Calibri" w:eastAsia="Calibri" w:hAnsi="Calibri"/>
          <w:sz w:val="22"/>
          <w:szCs w:val="22"/>
        </w:rPr>
        <w:t xml:space="preserve">Pour un projet mené en propre : son cahier des charges et le suivi de la prestation se comptent au fonds ; son dossier de subvention publique, à l’association.</w:t>
      </w:r>
    </w:p>
    <w:p>
      <w:pPr>
        <w:pStyle w:val="ListParagraph"/>
        <w:numPr>
          <w:ilvl w:val="0"/>
          <w:numId w:val="3"/>
        </w:numPr>
        <w:spacing w:after="80" w:line="276"/>
        <w:jc w:val="both"/>
      </w:pPr>
      <w:r>
        <w:rPr>
          <w:rFonts w:ascii="Calibri" w:cs="Calibri" w:eastAsia="Calibri" w:hAnsi="Calibri"/>
          <w:sz w:val="22"/>
          <w:szCs w:val="22"/>
        </w:rPr>
        <w:t xml:space="preserve">Une réunion d’un comité consultatif du fonds se compte au fonds ; une réunion du conseil de l’association, à l’association.</w:t>
      </w:r>
    </w:p>
    <w:p>
      <w:pPr>
        <w:pStyle w:val="ListParagraph"/>
        <w:numPr>
          <w:ilvl w:val="0"/>
          <w:numId w:val="3"/>
        </w:numPr>
        <w:spacing w:after="80" w:line="276"/>
        <w:jc w:val="both"/>
      </w:pPr>
      <w:r>
        <w:rPr>
          <w:rFonts w:ascii="Calibri" w:cs="Calibri" w:eastAsia="Calibri" w:hAnsi="Calibri"/>
          <w:sz w:val="22"/>
          <w:szCs w:val="22"/>
        </w:rPr>
        <w:t xml:space="preserve">La comptabilité, la banque et les abonnements se comptent à la structure dont ce sont les comptes et les contrats.</w:t>
      </w:r>
    </w:p>
    <w:p>
      <w:pPr>
        <w:pStyle w:val="ListParagraph"/>
        <w:numPr>
          <w:ilvl w:val="0"/>
          <w:numId w:val="3"/>
        </w:numPr>
        <w:spacing w:after="80" w:line="276"/>
        <w:jc w:val="both"/>
      </w:pPr>
      <w:r>
        <w:rPr>
          <w:rFonts w:ascii="Calibri" w:cs="Calibri" w:eastAsia="Calibri" w:hAnsi="Calibri"/>
          <w:sz w:val="22"/>
          <w:szCs w:val="22"/>
        </w:rPr>
        <w:t xml:space="preserve">Le traitement d’une commande sur la plateforme se compte à Mare Services.</w:t>
      </w:r>
    </w:p>
    <w:p>
      <w:pPr>
        <w:spacing w:after="120" w:before="80" w:line="276"/>
        <w:jc w:val="both"/>
      </w:pPr>
      <w:r>
        <w:rPr>
          <w:rFonts w:ascii="Calibri" w:cs="Calibri" w:eastAsia="Calibri" w:hAnsi="Calibri"/>
          <w:sz w:val="22"/>
          <w:szCs w:val="22"/>
        </w:rPr>
        <w:t xml:space="preserve">En cas de doute, l’heure va à la structure qui décide ou qui paie le livrable, jamais au FEAMPA par défaut.</w:t>
      </w:r>
    </w:p>
    <w:p>
      <w:pPr>
        <w:pStyle w:val="Heading1"/>
        <w:keepNext/>
        <w:spacing w:after="160" w:before="360"/>
      </w:pPr>
      <w:r>
        <w:rPr>
          <w:rFonts w:ascii="Calibri" w:cs="Calibri" w:eastAsia="Calibri" w:hAnsi="Calibri"/>
          <w:b/>
          <w:bCs/>
          <w:color w:val="16256B"/>
          <w:sz w:val="30"/>
          <w:szCs w:val="30"/>
        </w:rPr>
        <w:t xml:space="preserve">8. Profil et interlocuteurs</w:t>
      </w:r>
    </w:p>
    <w:tbl>
      <w:tblPr>
        <w:tblW w:type="dxa" w:w="9026"/>
        <w:tblBorders>
          <w:top w:val="single" w:color="C9D2DE" w:sz="4"/>
          <w:left w:val="single" w:color="C9D2DE" w:sz="4"/>
          <w:bottom w:val="single" w:color="C9D2DE" w:sz="4"/>
          <w:right w:val="single" w:color="C9D2DE" w:sz="4"/>
          <w:insideH w:val="single" w:color="C9D2DE" w:sz="4"/>
          <w:insideV w:val="single" w:color="C9D2DE" w:sz="4"/>
        </w:tblBorders>
      </w:tblPr>
      <w:tblGrid>
        <w:gridCol w:w="3000"/>
        <w:gridCol w:w="6026"/>
      </w:tblGrid>
      <w:tr>
        <w:trPr>
          <w:cantSplit/>
        </w:trPr>
        <w:tc>
          <w:tcPr>
            <w:tcW w:type="dxa" w:w="3000"/>
            <w:shd w:fill="EEF1F8" w:color="auto" w:val="clear"/>
            <w:tcMar>
              <w:top w:type="dxa" w:w="80"/>
              <w:left w:type="dxa" w:w="120"/>
              <w:bottom w:type="dxa" w:w="80"/>
              <w:right w:type="dxa" w:w="120"/>
            </w:tcMar>
            <w:vAlign w:val="center"/>
          </w:tcPr>
          <w:p>
            <w:pPr>
              <w:spacing w:after="0" w:line="264"/>
              <w:jc w:val="left"/>
            </w:pPr>
            <w:r>
              <w:rPr>
                <w:rFonts w:ascii="Calibri" w:cs="Calibri" w:eastAsia="Calibri" w:hAnsi="Calibri"/>
                <w:i w:val="false"/>
                <w:iCs w:val="false"/>
                <w:sz w:val="18"/>
                <w:szCs w:val="18"/>
              </w:rPr>
              <w:t xml:space="preserve">Compétences</w:t>
            </w:r>
          </w:p>
        </w:tc>
        <w:tc>
          <w:tcPr>
            <w:tcW w:type="dxa" w:w="6026"/>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Montage de projets et de dossiers de financement public (FEAMPA, Région, État) ; connaissance de la pêche méditerranéenne et de ses institutions ; gestion budgétaire ; animation de réunions ; rédaction</w:t>
            </w:r>
          </w:p>
        </w:tc>
      </w:tr>
      <w:tr>
        <w:trPr>
          <w:cantSplit/>
        </w:trPr>
        <w:tc>
          <w:tcPr>
            <w:tcW w:type="dxa" w:w="3000"/>
            <w:shd w:fill="EEF1F8" w:color="auto" w:val="clear"/>
            <w:tcMar>
              <w:top w:type="dxa" w:w="80"/>
              <w:left w:type="dxa" w:w="120"/>
              <w:bottom w:type="dxa" w:w="80"/>
              <w:right w:type="dxa" w:w="120"/>
            </w:tcMar>
            <w:vAlign w:val="center"/>
          </w:tcPr>
          <w:p>
            <w:pPr>
              <w:spacing w:after="0" w:line="264"/>
              <w:jc w:val="left"/>
            </w:pPr>
            <w:r>
              <w:rPr>
                <w:rFonts w:ascii="Calibri" w:cs="Calibri" w:eastAsia="Calibri" w:hAnsi="Calibri"/>
                <w:i w:val="false"/>
                <w:iCs w:val="false"/>
                <w:sz w:val="18"/>
                <w:szCs w:val="18"/>
              </w:rPr>
              <w:t xml:space="preserve">Interlocuteurs internes</w:t>
            </w:r>
          </w:p>
        </w:tc>
        <w:tc>
          <w:tcPr>
            <w:tcW w:type="dxa" w:w="6026"/>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Président et conseil de l’association ; conseil d’administration et comités du fonds ; dirigeant de Mare Services</w:t>
            </w:r>
          </w:p>
        </w:tc>
      </w:tr>
      <w:tr>
        <w:trPr>
          <w:cantSplit/>
        </w:trPr>
        <w:tc>
          <w:tcPr>
            <w:tcW w:type="dxa" w:w="3000"/>
            <w:shd w:fill="EEF1F8" w:color="auto" w:val="clear"/>
            <w:tcMar>
              <w:top w:type="dxa" w:w="80"/>
              <w:left w:type="dxa" w:w="120"/>
              <w:bottom w:type="dxa" w:w="80"/>
              <w:right w:type="dxa" w:w="120"/>
            </w:tcMar>
            <w:vAlign w:val="center"/>
          </w:tcPr>
          <w:p>
            <w:pPr>
              <w:spacing w:after="0" w:line="264"/>
              <w:jc w:val="left"/>
            </w:pPr>
            <w:r>
              <w:rPr>
                <w:rFonts w:ascii="Calibri" w:cs="Calibri" w:eastAsia="Calibri" w:hAnsi="Calibri"/>
                <w:i w:val="false"/>
                <w:iCs w:val="false"/>
                <w:sz w:val="18"/>
                <w:szCs w:val="18"/>
              </w:rPr>
              <w:t xml:space="preserve">Interlocuteurs externes</w:t>
            </w:r>
          </w:p>
        </w:tc>
        <w:tc>
          <w:tcPr>
            <w:tcW w:type="dxa" w:w="6026"/>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Pêcheurs et organisations professionnelles, organismes scientifiques, services de l’État, collectivités, mécènes, clients de la plateforme, prestataires (Fidal, expert-comptable, commissaire aux comptes)</w:t>
            </w:r>
          </w:p>
        </w:tc>
      </w:tr>
    </w:tbl>
    <w:p>
      <w:pPr>
        <w:pStyle w:val="Heading1"/>
        <w:keepNext/>
        <w:pageBreakBefore/>
        <w:shd w:fill="16256B" w:color="auto" w:val="clear"/>
        <w:spacing w:after="240" w:before="200"/>
      </w:pPr>
      <w:r>
        <w:rPr>
          <w:rFonts w:ascii="Calibri" w:cs="Calibri" w:eastAsia="Calibri" w:hAnsi="Calibri"/>
          <w:b/>
          <w:bCs/>
          <w:color w:val="FFFFFF"/>
          <w:sz w:val="28"/>
          <w:szCs w:val="28"/>
        </w:rPr>
        <w:t xml:space="preserve">ANNEXE — JUSTIFIER LA RÉPARTITION DU TEMPS</w:t>
      </w:r>
    </w:p>
    <w:p>
      <w:pPr>
        <w:spacing w:after="120" w:before="0" w:line="276"/>
        <w:jc w:val="both"/>
      </w:pPr>
      <w:r>
        <w:rPr>
          <w:rFonts w:ascii="Calibri" w:cs="Calibri" w:eastAsia="Calibri" w:hAnsi="Calibri"/>
          <w:sz w:val="22"/>
          <w:szCs w:val="22"/>
        </w:rPr>
        <w:t xml:space="preserve">La répartition se prouve par cinq pièces : le contrat, deux conventions, des feuilles de temps et des preuves datées, vérifiées chaque mois.</w:t>
      </w:r>
    </w:p>
    <w:p>
      <w:pPr>
        <w:pStyle w:val="Heading2"/>
        <w:keepNext/>
        <w:spacing w:after="120" w:before="260"/>
      </w:pPr>
      <w:r>
        <w:rPr>
          <w:rFonts w:ascii="Calibri" w:cs="Calibri" w:eastAsia="Calibri" w:hAnsi="Calibri"/>
          <w:b/>
          <w:bCs/>
          <w:color w:val="0E8A8A"/>
          <w:sz w:val="24"/>
          <w:szCs w:val="24"/>
        </w:rPr>
        <w:t xml:space="preserve">1. Contrat de travail et fiche de poste</w:t>
      </w:r>
    </w:p>
    <w:p>
      <w:pPr>
        <w:spacing w:after="120" w:before="0" w:line="276"/>
        <w:jc w:val="both"/>
      </w:pPr>
      <w:r>
        <w:rPr>
          <w:rFonts w:ascii="Calibri" w:cs="Calibri" w:eastAsia="Calibri" w:hAnsi="Calibri"/>
          <w:sz w:val="22"/>
          <w:szCs w:val="22"/>
        </w:rPr>
        <w:t xml:space="preserve">Le contrat reprend les trois missions et la clé prévisionnelle 60 / 20 / 20. La présente fiche lui est annexée.</w:t>
      </w:r>
    </w:p>
    <w:p>
      <w:pPr>
        <w:pStyle w:val="Heading2"/>
        <w:keepNext/>
        <w:spacing w:after="120" w:before="260"/>
      </w:pPr>
      <w:r>
        <w:rPr>
          <w:rFonts w:ascii="Calibri" w:cs="Calibri" w:eastAsia="Calibri" w:hAnsi="Calibri"/>
          <w:b/>
          <w:bCs/>
          <w:color w:val="0E8A8A"/>
          <w:sz w:val="24"/>
          <w:szCs w:val="24"/>
        </w:rPr>
        <w:t xml:space="preserve">2. Deux conventions de prestation</w:t>
      </w:r>
    </w:p>
    <w:p>
      <w:pPr>
        <w:spacing w:after="120" w:before="0" w:line="276"/>
        <w:jc w:val="both"/>
      </w:pPr>
      <w:r>
        <w:rPr>
          <w:rFonts w:ascii="Calibri" w:cs="Calibri" w:eastAsia="Calibri" w:hAnsi="Calibri"/>
          <w:sz w:val="22"/>
          <w:szCs w:val="22"/>
        </w:rPr>
        <w:t xml:space="preserve">Une convention entre l’association et le fonds, une autre entre l’association et Mare Services. Chacune fixe :</w:t>
      </w:r>
    </w:p>
    <w:p>
      <w:pPr>
        <w:pStyle w:val="ListParagraph"/>
        <w:numPr>
          <w:ilvl w:val="0"/>
          <w:numId w:val="3"/>
        </w:numPr>
        <w:spacing w:after="80" w:line="276"/>
        <w:jc w:val="both"/>
      </w:pPr>
      <w:r>
        <w:rPr>
          <w:rFonts w:ascii="Calibri" w:cs="Calibri" w:eastAsia="Calibri" w:hAnsi="Calibri"/>
          <w:sz w:val="22"/>
          <w:szCs w:val="22"/>
        </w:rPr>
        <w:t xml:space="preserve">les missions confiées et la quotité prévisionnelle (0,20 ETP) ;</w:t>
      </w:r>
    </w:p>
    <w:p>
      <w:pPr>
        <w:pStyle w:val="ListParagraph"/>
        <w:numPr>
          <w:ilvl w:val="0"/>
          <w:numId w:val="3"/>
        </w:numPr>
        <w:spacing w:after="80" w:line="276"/>
        <w:jc w:val="both"/>
      </w:pPr>
      <w:r>
        <w:rPr>
          <w:rFonts w:ascii="Calibri" w:cs="Calibri" w:eastAsia="Calibri" w:hAnsi="Calibri"/>
          <w:sz w:val="22"/>
          <w:szCs w:val="22"/>
        </w:rPr>
        <w:t xml:space="preserve">une facturation au temps réellement passé, au coût horaire complet, sans marge ;</w:t>
      </w:r>
    </w:p>
    <w:p>
      <w:pPr>
        <w:pStyle w:val="ListParagraph"/>
        <w:numPr>
          <w:ilvl w:val="0"/>
          <w:numId w:val="3"/>
        </w:numPr>
        <w:spacing w:after="80" w:line="276"/>
        <w:jc w:val="both"/>
      </w:pPr>
      <w:r>
        <w:rPr>
          <w:rFonts w:ascii="Calibri" w:cs="Calibri" w:eastAsia="Calibri" w:hAnsi="Calibri"/>
          <w:sz w:val="22"/>
          <w:szCs w:val="22"/>
        </w:rPr>
        <w:t xml:space="preserve">la quote-part des moyens matériels (20 %, même clé que le temps de travail) ;</w:t>
      </w:r>
    </w:p>
    <w:p>
      <w:pPr>
        <w:pStyle w:val="ListParagraph"/>
        <w:numPr>
          <w:ilvl w:val="0"/>
          <w:numId w:val="3"/>
        </w:numPr>
        <w:spacing w:after="80" w:line="276"/>
        <w:jc w:val="both"/>
      </w:pPr>
      <w:r>
        <w:rPr>
          <w:rFonts w:ascii="Calibri" w:cs="Calibri" w:eastAsia="Calibri" w:hAnsi="Calibri"/>
          <w:sz w:val="22"/>
          <w:szCs w:val="22"/>
        </w:rPr>
        <w:t xml:space="preserve">une facture mensuelle ou trimestrielle et une régularisation annuelle.</w:t>
      </w:r>
    </w:p>
    <w:p>
      <w:pPr>
        <w:spacing w:after="120" w:before="80" w:line="276"/>
        <w:jc w:val="both"/>
      </w:pPr>
      <w:r>
        <w:rPr>
          <w:rFonts w:ascii="Calibri" w:cs="Calibri" w:eastAsia="Calibri" w:hAnsi="Calibri"/>
          <w:b/>
          <w:bCs/>
          <w:i w:val="false"/>
          <w:iCs w:val="false"/>
          <w:sz w:val="22"/>
          <w:szCs w:val="22"/>
        </w:rPr>
        <w:t xml:space="preserve">Coût horaire complet</w:t>
      </w:r>
      <w:r>
        <w:rPr>
          <w:rFonts w:ascii="Calibri" w:cs="Calibri" w:eastAsia="Calibri" w:hAnsi="Calibri"/>
          <w:sz w:val="22"/>
          <w:szCs w:val="22"/>
        </w:rPr>
        <w:t xml:space="preserve"> = coût employeur de l’année (salaire chargé, mutuelle et prévoyance) ÷ 1 607 h. Exemple 2028 : 58 782 € ÷ 1 607 h, soit environ 36,6 € de l’heure ; 321 h pour le fonds font environ 11 756 €, le montant inscrit au budget.</w:t>
      </w:r>
    </w:p>
    <w:p>
      <w:pPr>
        <w:pStyle w:val="Heading2"/>
        <w:keepNext/>
        <w:spacing w:after="120" w:before="260"/>
      </w:pPr>
      <w:r>
        <w:rPr>
          <w:rFonts w:ascii="Calibri" w:cs="Calibri" w:eastAsia="Calibri" w:hAnsi="Calibri"/>
          <w:b/>
          <w:bCs/>
          <w:color w:val="0E8A8A"/>
          <w:sz w:val="24"/>
          <w:szCs w:val="24"/>
        </w:rPr>
        <w:t xml:space="preserve">3. Feuilles de temps hebdomadaires</w:t>
      </w:r>
    </w:p>
    <w:p>
      <w:pPr>
        <w:spacing w:after="120" w:before="0" w:line="276"/>
        <w:jc w:val="both"/>
      </w:pPr>
      <w:r>
        <w:rPr>
          <w:rFonts w:ascii="Calibri" w:cs="Calibri" w:eastAsia="Calibri" w:hAnsi="Calibri"/>
          <w:sz w:val="22"/>
          <w:szCs w:val="22"/>
        </w:rPr>
        <w:t xml:space="preserve">Chaque heure porte un code de structure et d’action. Le salarié et le président de l’association signent la feuille chaque mois. Le plus simple : un agenda en trois couleurs, exporté chaque mois dans un tableur.</w:t>
      </w:r>
    </w:p>
    <w:tbl>
      <w:tblPr>
        <w:tblW w:type="dxa" w:w="9026"/>
        <w:tblBorders>
          <w:top w:val="single" w:color="C9D2DE" w:sz="4"/>
          <w:left w:val="single" w:color="C9D2DE" w:sz="4"/>
          <w:bottom w:val="single" w:color="C9D2DE" w:sz="4"/>
          <w:right w:val="single" w:color="C9D2DE" w:sz="4"/>
          <w:insideH w:val="single" w:color="C9D2DE" w:sz="4"/>
          <w:insideV w:val="single" w:color="C9D2DE" w:sz="4"/>
        </w:tblBorders>
      </w:tblPr>
      <w:tblGrid>
        <w:gridCol w:w="2000"/>
        <w:gridCol w:w="7026"/>
      </w:tblGrid>
      <w:tr>
        <w:trPr>
          <w:tblHeader/>
        </w:trPr>
        <w:tc>
          <w:tcPr>
            <w:tcW w:type="dxa" w:w="2000"/>
            <w:shd w:fill="16256B" w:color="auto" w:val="clear"/>
            <w:tcMar>
              <w:top w:type="dxa" w:w="80"/>
              <w:left w:type="dxa" w:w="120"/>
              <w:bottom w:type="dxa" w:w="80"/>
              <w:right w:type="dxa" w:w="120"/>
            </w:tcMar>
            <w:vAlign w:val="center"/>
          </w:tcPr>
          <w:p>
            <w:pPr>
              <w:spacing w:after="0" w:line="264"/>
              <w:jc w:val="left"/>
            </w:pPr>
            <w:r>
              <w:rPr>
                <w:rFonts w:ascii="Calibri" w:cs="Calibri" w:eastAsia="Calibri" w:hAnsi="Calibri"/>
                <w:b/>
                <w:bCs/>
                <w:color w:val="FFFFFF"/>
                <w:sz w:val="18"/>
                <w:szCs w:val="18"/>
              </w:rPr>
              <w:t xml:space="preserve">Code</w:t>
            </w:r>
          </w:p>
        </w:tc>
        <w:tc>
          <w:tcPr>
            <w:tcW w:type="dxa" w:w="7026"/>
            <w:shd w:fill="16256B" w:color="auto" w:val="clear"/>
            <w:tcMar>
              <w:top w:type="dxa" w:w="80"/>
              <w:left w:type="dxa" w:w="120"/>
              <w:bottom w:type="dxa" w:w="80"/>
              <w:right w:type="dxa" w:w="120"/>
            </w:tcMar>
            <w:vAlign w:val="center"/>
          </w:tcPr>
          <w:p>
            <w:pPr>
              <w:spacing w:after="0" w:line="264"/>
              <w:jc w:val="left"/>
            </w:pPr>
            <w:r>
              <w:rPr>
                <w:rFonts w:ascii="Calibri" w:cs="Calibri" w:eastAsia="Calibri" w:hAnsi="Calibri"/>
                <w:b/>
                <w:bCs/>
                <w:color w:val="FFFFFF"/>
                <w:sz w:val="18"/>
                <w:szCs w:val="18"/>
              </w:rPr>
              <w:t xml:space="preserve">Action</w:t>
            </w:r>
          </w:p>
        </w:tc>
      </w:tr>
      <w:tr>
        <w:trPr>
          <w:cantSplit/>
        </w:trPr>
        <w:tc>
          <w:tcPr>
            <w:tcW w:type="dxa" w:w="2000"/>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ASSO-CONC</w:t>
            </w:r>
          </w:p>
        </w:tc>
        <w:tc>
          <w:tcPr>
            <w:tcW w:type="dxa" w:w="7026"/>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Concertation avec les acteurs extérieurs</w:t>
            </w:r>
          </w:p>
        </w:tc>
      </w:tr>
      <w:tr>
        <w:trPr>
          <w:cantSplit/>
        </w:trPr>
        <w:tc>
          <w:tcPr>
            <w:tcW w:type="dxa" w:w="2000"/>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ASSO-DOS</w:t>
            </w:r>
          </w:p>
        </w:tc>
        <w:tc>
          <w:tcPr>
            <w:tcW w:type="dxa" w:w="7026"/>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Dossiers de financement public des projets</w:t>
            </w:r>
          </w:p>
        </w:tc>
      </w:tr>
      <w:tr>
        <w:trPr>
          <w:cantSplit/>
        </w:trPr>
        <w:tc>
          <w:tcPr>
            <w:tcW w:type="dxa" w:w="2000"/>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ASSO-STRAT</w:t>
            </w:r>
          </w:p>
        </w:tc>
        <w:tc>
          <w:tcPr>
            <w:tcW w:type="dxa" w:w="7026"/>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Stratégie de l’écosystème</w:t>
            </w:r>
          </w:p>
        </w:tc>
      </w:tr>
      <w:tr>
        <w:trPr>
          <w:cantSplit/>
        </w:trPr>
        <w:tc>
          <w:tcPr>
            <w:tcW w:type="dxa" w:w="2000"/>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ASSO-GOUV</w:t>
            </w:r>
          </w:p>
        </w:tc>
        <w:tc>
          <w:tcPr>
            <w:tcW w:type="dxa" w:w="7026"/>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Gouvernance de l’association</w:t>
            </w:r>
          </w:p>
        </w:tc>
      </w:tr>
      <w:tr>
        <w:trPr>
          <w:cantSplit/>
        </w:trPr>
        <w:tc>
          <w:tcPr>
            <w:tcW w:type="dxa" w:w="2000"/>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ASSO-DIFF</w:t>
            </w:r>
          </w:p>
        </w:tc>
        <w:tc>
          <w:tcPr>
            <w:tcW w:type="dxa" w:w="7026"/>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Diffusion des connaissances</w:t>
            </w:r>
          </w:p>
        </w:tc>
      </w:tr>
      <w:tr>
        <w:trPr>
          <w:cantSplit/>
        </w:trPr>
        <w:tc>
          <w:tcPr>
            <w:tcW w:type="dxa" w:w="2000"/>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ASSO-REP</w:t>
            </w:r>
          </w:p>
        </w:tc>
        <w:tc>
          <w:tcPr>
            <w:tcW w:type="dxa" w:w="7026"/>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Représentation</w:t>
            </w:r>
          </w:p>
        </w:tc>
      </w:tr>
      <w:tr>
        <w:trPr>
          <w:cantSplit/>
        </w:trPr>
        <w:tc>
          <w:tcPr>
            <w:tcW w:type="dxa" w:w="2000"/>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ASSO-GEST</w:t>
            </w:r>
          </w:p>
        </w:tc>
        <w:tc>
          <w:tcPr>
            <w:tcW w:type="dxa" w:w="7026"/>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Gestion administrative et financière de l’association</w:t>
            </w:r>
          </w:p>
        </w:tc>
      </w:tr>
      <w:tr>
        <w:trPr>
          <w:cantSplit/>
        </w:trPr>
        <w:tc>
          <w:tcPr>
            <w:tcW w:type="dxa" w:w="2000"/>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FDD-COM</w:t>
            </w:r>
          </w:p>
        </w:tc>
        <w:tc>
          <w:tcPr>
            <w:tcW w:type="dxa" w:w="7026"/>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Comités consultatifs du fonds</w:t>
            </w:r>
          </w:p>
        </w:tc>
      </w:tr>
      <w:tr>
        <w:trPr>
          <w:cantSplit/>
        </w:trPr>
        <w:tc>
          <w:tcPr>
            <w:tcW w:type="dxa" w:w="2000"/>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FDD-CA</w:t>
            </w:r>
          </w:p>
        </w:tc>
        <w:tc>
          <w:tcPr>
            <w:tcW w:type="dxa" w:w="7026"/>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Conseil d’administration du fonds</w:t>
            </w:r>
          </w:p>
        </w:tc>
      </w:tr>
      <w:tr>
        <w:trPr>
          <w:cantSplit/>
        </w:trPr>
        <w:tc>
          <w:tcPr>
            <w:tcW w:type="dxa" w:w="2000"/>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FDD-STRAT</w:t>
            </w:r>
          </w:p>
        </w:tc>
        <w:tc>
          <w:tcPr>
            <w:tcW w:type="dxa" w:w="7026"/>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Stratégie du fonds</w:t>
            </w:r>
          </w:p>
        </w:tc>
      </w:tr>
      <w:tr>
        <w:trPr>
          <w:cantSplit/>
        </w:trPr>
        <w:tc>
          <w:tcPr>
            <w:tcW w:type="dxa" w:w="2000"/>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FDD-PROJ</w:t>
            </w:r>
          </w:p>
        </w:tc>
        <w:tc>
          <w:tcPr>
            <w:tcW w:type="dxa" w:w="7026"/>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Appels à projets et projets menés en propre</w:t>
            </w:r>
          </w:p>
        </w:tc>
      </w:tr>
      <w:tr>
        <w:trPr>
          <w:cantSplit/>
        </w:trPr>
        <w:tc>
          <w:tcPr>
            <w:tcW w:type="dxa" w:w="2000"/>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FDD-MEC</w:t>
            </w:r>
          </w:p>
        </w:tc>
        <w:tc>
          <w:tcPr>
            <w:tcW w:type="dxa" w:w="7026"/>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Recherche de mécènes</w:t>
            </w:r>
          </w:p>
        </w:tc>
      </w:tr>
      <w:tr>
        <w:trPr>
          <w:cantSplit/>
        </w:trPr>
        <w:tc>
          <w:tcPr>
            <w:tcW w:type="dxa" w:w="2000"/>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FDD-SUIVI</w:t>
            </w:r>
          </w:p>
        </w:tc>
        <w:tc>
          <w:tcPr>
            <w:tcW w:type="dxa" w:w="7026"/>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Suivi des conventions et compte rendu aux mécènes</w:t>
            </w:r>
          </w:p>
        </w:tc>
      </w:tr>
      <w:tr>
        <w:trPr>
          <w:cantSplit/>
        </w:trPr>
        <w:tc>
          <w:tcPr>
            <w:tcW w:type="dxa" w:w="2000"/>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FDD-GEST</w:t>
            </w:r>
          </w:p>
        </w:tc>
        <w:tc>
          <w:tcPr>
            <w:tcW w:type="dxa" w:w="7026"/>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Gestion administrative et financière du fonds</w:t>
            </w:r>
          </w:p>
        </w:tc>
      </w:tr>
      <w:tr>
        <w:trPr>
          <w:cantSplit/>
        </w:trPr>
        <w:tc>
          <w:tcPr>
            <w:tcW w:type="dxa" w:w="2000"/>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MS-REC</w:t>
            </w:r>
          </w:p>
        </w:tc>
        <w:tc>
          <w:tcPr>
            <w:tcW w:type="dxa" w:w="7026"/>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Recrutement des pêcheurs</w:t>
            </w:r>
          </w:p>
        </w:tc>
      </w:tr>
      <w:tr>
        <w:trPr>
          <w:cantSplit/>
        </w:trPr>
        <w:tc>
          <w:tcPr>
            <w:tcW w:type="dxa" w:w="2000"/>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MS-COM</w:t>
            </w:r>
          </w:p>
        </w:tc>
        <w:tc>
          <w:tcPr>
            <w:tcW w:type="dxa" w:w="7026"/>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Développement commercial</w:t>
            </w:r>
          </w:p>
        </w:tc>
      </w:tr>
      <w:tr>
        <w:trPr>
          <w:cantSplit/>
        </w:trPr>
        <w:tc>
          <w:tcPr>
            <w:tcW w:type="dxa" w:w="2000"/>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MS-MIS</w:t>
            </w:r>
          </w:p>
        </w:tc>
        <w:tc>
          <w:tcPr>
            <w:tcW w:type="dxa" w:w="7026"/>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Gestion des missions</w:t>
            </w:r>
          </w:p>
        </w:tc>
      </w:tr>
      <w:tr>
        <w:trPr>
          <w:cantSplit/>
        </w:trPr>
        <w:tc>
          <w:tcPr>
            <w:tcW w:type="dxa" w:w="2000"/>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MS-BO</w:t>
            </w:r>
          </w:p>
        </w:tc>
        <w:tc>
          <w:tcPr>
            <w:tcW w:type="dxa" w:w="7026"/>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Back-office</w:t>
            </w:r>
          </w:p>
        </w:tc>
      </w:tr>
      <w:tr>
        <w:trPr>
          <w:cantSplit/>
        </w:trPr>
        <w:tc>
          <w:tcPr>
            <w:tcW w:type="dxa" w:w="2000"/>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MS-CLI</w:t>
            </w:r>
          </w:p>
        </w:tc>
        <w:tc>
          <w:tcPr>
            <w:tcW w:type="dxa" w:w="7026"/>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Relation client et facturation</w:t>
            </w:r>
          </w:p>
        </w:tc>
      </w:tr>
      <w:tr>
        <w:trPr>
          <w:cantSplit/>
        </w:trPr>
        <w:tc>
          <w:tcPr>
            <w:tcW w:type="dxa" w:w="2000"/>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MS-PLAT</w:t>
            </w:r>
          </w:p>
        </w:tc>
        <w:tc>
          <w:tcPr>
            <w:tcW w:type="dxa" w:w="7026"/>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Gestion de la plateforme</w:t>
            </w:r>
          </w:p>
        </w:tc>
      </w:tr>
      <w:tr>
        <w:trPr>
          <w:cantSplit/>
        </w:trPr>
        <w:tc>
          <w:tcPr>
            <w:tcW w:type="dxa" w:w="2000"/>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MS-GEST</w:t>
            </w:r>
          </w:p>
        </w:tc>
        <w:tc>
          <w:tcPr>
            <w:tcW w:type="dxa" w:w="7026"/>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Gestion administrative et financière de la structure</w:t>
            </w:r>
          </w:p>
        </w:tc>
      </w:tr>
    </w:tbl>
    <w:p>
      <w:pPr>
        <w:pStyle w:val="Heading2"/>
        <w:keepNext/>
        <w:spacing w:after="120" w:before="260"/>
      </w:pPr>
      <w:r>
        <w:rPr>
          <w:rFonts w:ascii="Calibri" w:cs="Calibri" w:eastAsia="Calibri" w:hAnsi="Calibri"/>
          <w:b/>
          <w:bCs/>
          <w:color w:val="0E8A8A"/>
          <w:sz w:val="24"/>
          <w:szCs w:val="24"/>
        </w:rPr>
        <w:t xml:space="preserve">4. Preuves datées, rangées par structure</w:t>
      </w:r>
    </w:p>
    <w:tbl>
      <w:tblPr>
        <w:tblW w:type="dxa" w:w="9026"/>
        <w:tblBorders>
          <w:top w:val="single" w:color="C9D2DE" w:sz="4"/>
          <w:left w:val="single" w:color="C9D2DE" w:sz="4"/>
          <w:bottom w:val="single" w:color="C9D2DE" w:sz="4"/>
          <w:right w:val="single" w:color="C9D2DE" w:sz="4"/>
          <w:insideH w:val="single" w:color="C9D2DE" w:sz="4"/>
          <w:insideV w:val="single" w:color="C9D2DE" w:sz="4"/>
        </w:tblBorders>
      </w:tblPr>
      <w:tblGrid>
        <w:gridCol w:w="2000"/>
        <w:gridCol w:w="7026"/>
      </w:tblGrid>
      <w:tr>
        <w:trPr>
          <w:tblHeader/>
        </w:trPr>
        <w:tc>
          <w:tcPr>
            <w:tcW w:type="dxa" w:w="2000"/>
            <w:shd w:fill="16256B" w:color="auto" w:val="clear"/>
            <w:tcMar>
              <w:top w:type="dxa" w:w="80"/>
              <w:left w:type="dxa" w:w="120"/>
              <w:bottom w:type="dxa" w:w="80"/>
              <w:right w:type="dxa" w:w="120"/>
            </w:tcMar>
            <w:vAlign w:val="center"/>
          </w:tcPr>
          <w:p>
            <w:pPr>
              <w:spacing w:after="0" w:line="264"/>
              <w:jc w:val="left"/>
            </w:pPr>
            <w:r>
              <w:rPr>
                <w:rFonts w:ascii="Calibri" w:cs="Calibri" w:eastAsia="Calibri" w:hAnsi="Calibri"/>
                <w:b/>
                <w:bCs/>
                <w:color w:val="FFFFFF"/>
                <w:sz w:val="18"/>
                <w:szCs w:val="18"/>
              </w:rPr>
              <w:t xml:space="preserve">Structure</w:t>
            </w:r>
          </w:p>
        </w:tc>
        <w:tc>
          <w:tcPr>
            <w:tcW w:type="dxa" w:w="7026"/>
            <w:shd w:fill="16256B" w:color="auto" w:val="clear"/>
            <w:tcMar>
              <w:top w:type="dxa" w:w="80"/>
              <w:left w:type="dxa" w:w="120"/>
              <w:bottom w:type="dxa" w:w="80"/>
              <w:right w:type="dxa" w:w="120"/>
            </w:tcMar>
            <w:vAlign w:val="center"/>
          </w:tcPr>
          <w:p>
            <w:pPr>
              <w:spacing w:after="0" w:line="264"/>
              <w:jc w:val="left"/>
            </w:pPr>
            <w:r>
              <w:rPr>
                <w:rFonts w:ascii="Calibri" w:cs="Calibri" w:eastAsia="Calibri" w:hAnsi="Calibri"/>
                <w:b/>
                <w:bCs/>
                <w:color w:val="FFFFFF"/>
                <w:sz w:val="18"/>
                <w:szCs w:val="18"/>
              </w:rPr>
              <w:t xml:space="preserve">Pièces à conserver</w:t>
            </w:r>
          </w:p>
        </w:tc>
      </w:tr>
      <w:tr>
        <w:trPr>
          <w:cantSplit/>
        </w:trPr>
        <w:tc>
          <w:tcPr>
            <w:tcW w:type="dxa" w:w="2000"/>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Association</w:t>
            </w:r>
          </w:p>
        </w:tc>
        <w:tc>
          <w:tcPr>
            <w:tcW w:type="dxa" w:w="7026"/>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Comptes rendus de concertation, feuilles d’émargement, dossiers déposés et accusés de réception, procès-verbaux du conseil, supports diffusés, pièces comptables et rapprochements bancaires</w:t>
            </w:r>
          </w:p>
        </w:tc>
      </w:tr>
      <w:tr>
        <w:trPr>
          <w:cantSplit/>
        </w:trPr>
        <w:tc>
          <w:tcPr>
            <w:tcW w:type="dxa" w:w="2000"/>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Fonds de dotation</w:t>
            </w:r>
          </w:p>
        </w:tc>
        <w:tc>
          <w:tcPr>
            <w:tcW w:type="dxa" w:w="7026"/>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Ordres du jour et avis des comités, procès-verbaux du conseil d’administration, cahiers des charges, conventions, correspondance avec les mécènes, reçus fiscaux, comptes annuels</w:t>
            </w:r>
          </w:p>
        </w:tc>
      </w:tr>
      <w:tr>
        <w:trPr>
          <w:cantSplit/>
        </w:trPr>
        <w:tc>
          <w:tcPr>
            <w:tcW w:type="dxa" w:w="2000"/>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Mare Services</w:t>
            </w:r>
          </w:p>
        </w:tc>
        <w:tc>
          <w:tcPr>
            <w:tcW w:type="dxa" w:w="7026"/>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Fiches d’inscription des pêcheurs, devis et factures émises, historique de la plateforme, relevés de paiement, échanges avec les clients et les professionnels</w:t>
            </w:r>
          </w:p>
        </w:tc>
      </w:tr>
    </w:tbl>
    <w:p>
      <w:pPr>
        <w:spacing w:after="120" w:before="120" w:line="276"/>
        <w:jc w:val="both"/>
      </w:pPr>
      <w:r>
        <w:rPr>
          <w:rFonts w:ascii="Calibri" w:cs="Calibri" w:eastAsia="Calibri" w:hAnsi="Calibri"/>
          <w:sz w:val="22"/>
          <w:szCs w:val="22"/>
        </w:rPr>
        <w:t xml:space="preserve">Une adresse e-mail ou une signature par structure facilite le classement.</w:t>
      </w:r>
    </w:p>
    <w:p>
      <w:pPr>
        <w:pStyle w:val="Heading2"/>
        <w:keepNext/>
        <w:spacing w:after="120" w:before="260"/>
      </w:pPr>
      <w:r>
        <w:rPr>
          <w:rFonts w:ascii="Calibri" w:cs="Calibri" w:eastAsia="Calibri" w:hAnsi="Calibri"/>
          <w:b/>
          <w:bCs/>
          <w:color w:val="0E8A8A"/>
          <w:sz w:val="24"/>
          <w:szCs w:val="24"/>
        </w:rPr>
        <w:t xml:space="preserve">5. Contrôle mensuel</w:t>
      </w:r>
    </w:p>
    <w:p>
      <w:pPr>
        <w:pStyle w:val="ListParagraph"/>
        <w:numPr>
          <w:ilvl w:val="0"/>
          <w:numId w:val="6"/>
        </w:numPr>
        <w:spacing w:after="80" w:line="276"/>
      </w:pPr>
      <w:r>
        <w:rPr>
          <w:rFonts w:ascii="Calibri" w:cs="Calibri" w:eastAsia="Calibri" w:hAnsi="Calibri"/>
          <w:sz w:val="22"/>
          <w:szCs w:val="22"/>
        </w:rPr>
        <w:t xml:space="preserve">Le total des heures de l’année tend vers 1 607 h.</w:t>
      </w:r>
    </w:p>
    <w:p>
      <w:pPr>
        <w:pStyle w:val="ListParagraph"/>
        <w:numPr>
          <w:ilvl w:val="0"/>
          <w:numId w:val="6"/>
        </w:numPr>
        <w:spacing w:after="80" w:line="276"/>
      </w:pPr>
      <w:r>
        <w:rPr>
          <w:rFonts w:ascii="Calibri" w:cs="Calibri" w:eastAsia="Calibri" w:hAnsi="Calibri"/>
          <w:sz w:val="22"/>
          <w:szCs w:val="22"/>
        </w:rPr>
        <w:t xml:space="preserve">Aucune heure n’est déclarée deux fois.</w:t>
      </w:r>
    </w:p>
    <w:p>
      <w:pPr>
        <w:pStyle w:val="ListParagraph"/>
        <w:numPr>
          <w:ilvl w:val="0"/>
          <w:numId w:val="6"/>
        </w:numPr>
        <w:spacing w:after="80" w:line="276"/>
      </w:pPr>
      <w:r>
        <w:rPr>
          <w:rFonts w:ascii="Calibri" w:cs="Calibri" w:eastAsia="Calibri" w:hAnsi="Calibri"/>
          <w:sz w:val="22"/>
          <w:szCs w:val="22"/>
        </w:rPr>
        <w:t xml:space="preserve">Les heures du fonds et de Mare Services correspondent exactement aux factures de refacturation.</w:t>
      </w:r>
    </w:p>
    <w:p>
      <w:pPr>
        <w:pStyle w:val="ListParagraph"/>
        <w:numPr>
          <w:ilvl w:val="0"/>
          <w:numId w:val="6"/>
        </w:numPr>
        <w:spacing w:after="80" w:line="276"/>
      </w:pPr>
      <w:r>
        <w:rPr>
          <w:rFonts w:ascii="Calibri" w:cs="Calibri" w:eastAsia="Calibri" w:hAnsi="Calibri"/>
          <w:sz w:val="22"/>
          <w:szCs w:val="22"/>
        </w:rPr>
        <w:t xml:space="preserve">Les heures de l’association correspondent exactement aux heures déclarées au FEAMPA.</w:t>
      </w:r>
    </w:p>
    <w:p>
      <w:pPr>
        <w:pStyle w:val="Heading2"/>
        <w:keepNext/>
        <w:spacing w:after="120" w:before="260"/>
      </w:pPr>
      <w:r>
        <w:rPr>
          <w:rFonts w:ascii="Calibri" w:cs="Calibri" w:eastAsia="Calibri" w:hAnsi="Calibri"/>
          <w:b/>
          <w:bCs/>
          <w:color w:val="0E8A8A"/>
          <w:sz w:val="24"/>
          <w:szCs w:val="24"/>
        </w:rPr>
        <w:t xml:space="preserve">6. Révision annuelle de la clé</w:t>
      </w:r>
    </w:p>
    <w:p>
      <w:pPr>
        <w:spacing w:after="120" w:before="0" w:line="276"/>
        <w:jc w:val="both"/>
      </w:pPr>
      <w:r>
        <w:rPr>
          <w:rFonts w:ascii="Calibri" w:cs="Calibri" w:eastAsia="Calibri" w:hAnsi="Calibri"/>
          <w:sz w:val="22"/>
          <w:szCs w:val="22"/>
        </w:rPr>
        <w:t xml:space="preserve">La clé suit le réel, pas l’inverse. Si le temps passé pour le fonds dépasse 20 %, l’association lui refacture davantage et déclare moins au FEAMPA ; le budget et le dossier sont ajustés. La première année, le fonds prendra sans doute plus de 20 % (levées, premiers conseils) et Mare Services moins : mieux vaut l’anticiper dans le dossier que le découvrir au contrôle.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B7280"/>
        <w:sz w:val="16"/>
        <w:szCs w:val="16"/>
      </w:rPr>
      <w:t xml:space="preserve">Mare Durabilis — Fiche de poste du chef de projet — v1 — 29/09/2026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Calibri" w:cs="Calibri" w:eastAsia="Calibri" w:hAnsi="Calibri"/>
        <w:b/>
        <w:bCs/>
        <w:color w:val="16256B"/>
        <w:sz w:val="22"/>
        <w:szCs w:val="22"/>
      </w:rPr>
    </w:lvl>
    <w:lvl w:ilvl="1" w15:tentative="1">
      <w:start w:val="1"/>
      <w:numFmt w:val="bullet"/>
      <w:lvlText w:val="–"/>
      <w:lvlJc w:val="left"/>
      <w:pPr>
        <w:ind w:left="720" w:hanging="300"/>
      </w:pPr>
      <w:rPr>
        <w:rFonts w:ascii="Calibri" w:cs="Calibri" w:eastAsia="Calibri" w:hAnsi="Calibri"/>
        <w:sz w:val="22"/>
        <w:szCs w:val="22"/>
      </w:rPr>
    </w:lvl>
  </w:abstractNum>
  <w:abstractNum w:abstractNumId="3" w15:restartNumberingAfterBreak="0">
    <w:multiLevelType w:val="hybridMultilevel"/>
    <w:lvl w:ilvl="0" w15:tentative="1">
      <w:start w:val="1"/>
      <w:numFmt w:val="decimal"/>
      <w:lvlText w:val="%1."/>
      <w:lvlJc w:val="left"/>
      <w:pPr>
        <w:ind w:left="360" w:hanging="360"/>
      </w:pPr>
      <w:rPr>
        <w:rFonts w:ascii="Calibri" w:cs="Calibri" w:eastAsia="Calibri" w:hAnsi="Calibri"/>
        <w:b/>
        <w:bCs/>
        <w:color w:val="16256B"/>
        <w:sz w:val="22"/>
        <w:szCs w:val="22"/>
      </w:rPr>
    </w:lvl>
    <w:lvl w:ilvl="1" w15:tentative="1">
      <w:start w:val="1"/>
      <w:numFmt w:val="bullet"/>
      <w:lvlText w:val="–"/>
      <w:lvlJc w:val="left"/>
      <w:pPr>
        <w:ind w:left="720" w:hanging="300"/>
      </w:pPr>
      <w:rPr>
        <w:rFonts w:ascii="Calibri" w:cs="Calibri" w:eastAsia="Calibri" w:hAnsi="Calibri"/>
        <w:sz w:val="22"/>
        <w:szCs w:val="22"/>
      </w:rPr>
    </w:lvl>
  </w:abstractNum>
  <w:abstractNum w:abstractNumId="4" w15:restartNumberingAfterBreak="0">
    <w:multiLevelType w:val="hybridMultilevel"/>
    <w:lvl w:ilvl="0" w15:tentative="1">
      <w:start w:val="1"/>
      <w:numFmt w:val="decimal"/>
      <w:lvlText w:val="%1."/>
      <w:lvlJc w:val="left"/>
      <w:pPr>
        <w:ind w:left="360" w:hanging="360"/>
      </w:pPr>
      <w:rPr>
        <w:rFonts w:ascii="Calibri" w:cs="Calibri" w:eastAsia="Calibri" w:hAnsi="Calibri"/>
        <w:b/>
        <w:bCs/>
        <w:color w:val="16256B"/>
        <w:sz w:val="22"/>
        <w:szCs w:val="22"/>
      </w:rPr>
    </w:lvl>
    <w:lvl w:ilvl="1" w15:tentative="1">
      <w:start w:val="1"/>
      <w:numFmt w:val="bullet"/>
      <w:lvlText w:val="–"/>
      <w:lvlJc w:val="left"/>
      <w:pPr>
        <w:ind w:left="720" w:hanging="300"/>
      </w:pPr>
      <w:rPr>
        <w:rFonts w:ascii="Calibri" w:cs="Calibri" w:eastAsia="Calibri" w:hAnsi="Calibri"/>
        <w:sz w:val="22"/>
        <w:szCs w:val="22"/>
      </w:rPr>
    </w:lvl>
  </w:abstractNum>
  <w:abstractNum w:abstractNumId="5" w15:restartNumberingAfterBreak="0">
    <w:multiLevelType w:val="hybridMultilevel"/>
    <w:lvl w:ilvl="0" w15:tentative="1">
      <w:start w:val="1"/>
      <w:numFmt w:val="bullet"/>
      <w:lvlText w:val="•"/>
      <w:lvlJc w:val="left"/>
      <w:pPr>
        <w:ind w:left="360" w:hanging="300"/>
      </w:pPr>
      <w:rPr>
        <w:rFonts w:ascii="Calibri" w:cs="Calibri" w:eastAsia="Calibri" w:hAnsi="Calibri"/>
        <w:color w:val="0E8A8A"/>
      </w:rPr>
    </w:lvl>
    <w:lvl w:ilvl="1" w15:tentative="1">
      <w:start w:val="1"/>
      <w:numFmt w:val="bullet"/>
      <w:lvlText w:val="–"/>
      <w:lvlJc w:val="left"/>
      <w:pPr>
        <w:ind w:left="720" w:hanging="300"/>
      </w:pPr>
    </w:lvl>
  </w:abstractNum>
  <w:abstractNum w:abstractNumId="6" w15:restartNumberingAfterBreak="0">
    <w:multiLevelType w:val="hybridMultilevel"/>
    <w:lvl w:ilvl="0" w15:tentative="1">
      <w:start w:val="1"/>
      <w:numFmt w:val="bullet"/>
      <w:lvlText w:val="☐"/>
      <w:lvlJc w:val="left"/>
      <w:pPr>
        <w:ind w:left="360" w:hanging="360"/>
      </w:pPr>
      <w:rPr>
        <w:rFonts w:ascii="Segoe UI Symbol" w:cs="Segoe UI Symbol" w:eastAsia="Segoe UI Symbol" w:hAnsi="Segoe UI Symbol"/>
        <w:color w:val="16256B"/>
      </w:r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3"/>
    <w:lvlOverride w:ilvl="0">
      <w:startOverride w:val="1"/>
    </w:lvlOverride>
  </w:num>
  <w:num w:numId="5">
    <w:abstractNumId w:val="4"/>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 de poste — Chef de projet, coordinateur de l’écosystème Mare Durabilis</dc:title>
  <dc:creator>Clément Chardon</dc:creator>
  <cp:lastModifiedBy>Un-named</cp:lastModifiedBy>
  <cp:revision>1</cp:revision>
  <dcterms:created xsi:type="dcterms:W3CDTF">2026-09-29T06:51:08.585Z</dcterms:created>
  <dcterms:modified xsi:type="dcterms:W3CDTF">2026-09-29T06:51:08.585Z</dcterms:modified>
</cp:coreProperties>
</file>

<file path=docProps/custom.xml><?xml version="1.0" encoding="utf-8"?>
<Properties xmlns="http://schemas.openxmlformats.org/officeDocument/2006/custom-properties" xmlns:vt="http://schemas.openxmlformats.org/officeDocument/2006/docPropsVTypes"/>
</file>