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Calibri" w:cs="Calibri" w:eastAsia="Calibri" w:hAnsi="Calibri"/>
          <w:b/>
          <w:bCs/>
          <w:color w:val="0E8A8A"/>
          <w:sz w:val="22"/>
          <w:szCs w:val="22"/>
        </w:rPr>
        <w:t xml:space="preserve">FONDS DE DOTATION MARE DURABILIS</w:t>
      </w:r>
    </w:p>
    <w:p>
      <w:pPr>
        <w:pBdr>
          <w:bottom w:val="single" w:color="16256B" w:sz="12" w:space="12"/>
        </w:pBdr>
        <w:spacing w:after="120"/>
        <w:jc w:val="center"/>
      </w:pPr>
      <w:r>
        <w:rPr>
          <w:rFonts w:ascii="Calibri" w:cs="Calibri" w:eastAsia="Calibri" w:hAnsi="Calibri"/>
          <w:b/>
          <w:bCs/>
          <w:color w:val="16256B"/>
          <w:sz w:val="36"/>
          <w:szCs w:val="36"/>
        </w:rPr>
        <w:t xml:space="preserve">NOTE STRATÉGIQUE — SECTION 3 : OUTILS JURIDIQUES MOBILISABLES</w:t>
      </w:r>
    </w:p>
    <w:p>
      <w:pPr>
        <w:spacing w:after="360" w:before="200"/>
        <w:jc w:val="center"/>
      </w:pPr>
      <w:r>
        <w:rPr>
          <w:rFonts w:ascii="Calibri" w:cs="Calibri" w:eastAsia="Calibri" w:hAnsi="Calibri"/>
          <w:i/>
          <w:iCs/>
          <w:color w:val="6B7280"/>
          <w:sz w:val="24"/>
          <w:szCs w:val="24"/>
        </w:rPr>
        <w:t xml:space="preserve">Proposition de rédaction simplifiée, corrigée et complétée — 29/09/2026</w:t>
      </w:r>
    </w:p>
    <w:p>
      <w:pPr>
        <w:pStyle w:val="Heading1"/>
        <w:keepNext/>
        <w:spacing w:after="160" w:before="360"/>
      </w:pPr>
      <w:r>
        <w:rPr>
          <w:rFonts w:ascii="Calibri" w:cs="Calibri" w:eastAsia="Calibri" w:hAnsi="Calibri"/>
          <w:b/>
          <w:bCs/>
          <w:color w:val="16256B"/>
          <w:sz w:val="30"/>
          <w:szCs w:val="30"/>
        </w:rPr>
        <w:t xml:space="preserve">3. Outils juridiques mobilisables</w:t>
      </w:r>
    </w:p>
    <w:p>
      <w:pPr>
        <w:spacing w:after="120" w:before="0" w:line="276"/>
        <w:jc w:val="both"/>
      </w:pPr>
      <w:r>
        <w:rPr>
          <w:rFonts w:ascii="Calibri" w:cs="Calibri" w:eastAsia="Calibri" w:hAnsi="Calibri"/>
          <w:sz w:val="22"/>
          <w:szCs w:val="22"/>
        </w:rPr>
        <w:t xml:space="preserve">L’écosystème Mare Durabilis s’appuie sur plusieurs entités distinctes, pour deux raisons.</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Le financement du fonctionnement. </w:t>
      </w:r>
      <w:r>
        <w:rPr>
          <w:rFonts w:ascii="Calibri" w:cs="Calibri" w:eastAsia="Calibri" w:hAnsi="Calibri"/>
          <w:sz w:val="22"/>
          <w:szCs w:val="22"/>
        </w:rPr>
        <w:t xml:space="preserve">Un fonds de dotation ne peut recevoir aucun fonds public, sauf dérogation ministérielle exceptionnelle. L’association est donc le seul véhicule apte à porter les financements publics affectés à l’animation de l’écosystème ; c’est elle qui emploie le chef de projet.</w:t>
      </w:r>
    </w:p>
    <w:p>
      <w:pPr>
        <w:pStyle w:val="ListParagraph"/>
        <w:numPr>
          <w:ilvl w:val="0"/>
          <w:numId w:val="2"/>
        </w:numPr>
        <w:spacing w:after="80" w:line="276"/>
        <w:jc w:val="both"/>
      </w:pPr>
      <w:r>
        <w:rPr>
          <w:rFonts w:ascii="Calibri" w:cs="Calibri" w:eastAsia="Calibri" w:hAnsi="Calibri"/>
          <w:b/>
          <w:bCs/>
          <w:i w:val="false"/>
          <w:iCs w:val="false"/>
          <w:sz w:val="22"/>
          <w:szCs w:val="22"/>
        </w:rPr>
        <w:t xml:space="preserve">L’exercice d’activités économiques. </w:t>
      </w:r>
      <w:r>
        <w:rPr>
          <w:rFonts w:ascii="Calibri" w:cs="Calibri" w:eastAsia="Calibri" w:hAnsi="Calibri"/>
          <w:sz w:val="22"/>
          <w:szCs w:val="22"/>
        </w:rPr>
        <w:t xml:space="preserve">Le fonds de dotation, non lucratif et à gestion désintéressée, ne peut exercer d’activité commerciale à titre habituel. Or certains bénéfices recherchés par les programmes supposent une activité économique : vendre des prestations, exploiter du matériel, concéder des licences, commercialiser une innovation.</w:t>
      </w:r>
    </w:p>
    <w:p>
      <w:pPr>
        <w:spacing w:after="120" w:before="80" w:line="276"/>
        <w:jc w:val="both"/>
      </w:pPr>
      <w:r>
        <w:rPr>
          <w:rFonts w:ascii="Calibri" w:cs="Calibri" w:eastAsia="Calibri" w:hAnsi="Calibri"/>
          <w:sz w:val="22"/>
          <w:szCs w:val="22"/>
        </w:rPr>
        <w:t xml:space="preserve">Confier ces activités à des structures dédiées permet de :</w:t>
      </w:r>
    </w:p>
    <w:p>
      <w:pPr>
        <w:pStyle w:val="ListParagraph"/>
        <w:numPr>
          <w:ilvl w:val="0"/>
          <w:numId w:val="2"/>
        </w:numPr>
        <w:spacing w:after="80" w:line="276"/>
        <w:jc w:val="both"/>
      </w:pPr>
      <w:r>
        <w:rPr>
          <w:rFonts w:ascii="Calibri" w:cs="Calibri" w:eastAsia="Calibri" w:hAnsi="Calibri"/>
          <w:sz w:val="22"/>
          <w:szCs w:val="22"/>
        </w:rPr>
        <w:t xml:space="preserve">préserver la non-lucrativité du fonds et l’éligibilité des dons au régime du mécénat ;</w:t>
      </w:r>
    </w:p>
    <w:p>
      <w:pPr>
        <w:pStyle w:val="ListParagraph"/>
        <w:numPr>
          <w:ilvl w:val="0"/>
          <w:numId w:val="2"/>
        </w:numPr>
        <w:spacing w:after="80" w:line="276"/>
        <w:jc w:val="both"/>
      </w:pPr>
      <w:r>
        <w:rPr>
          <w:rFonts w:ascii="Calibri" w:cs="Calibri" w:eastAsia="Calibri" w:hAnsi="Calibri"/>
          <w:sz w:val="22"/>
          <w:szCs w:val="22"/>
        </w:rPr>
        <w:t xml:space="preserve">isoler les risques économiques et juridiques des activités commerciales ;</w:t>
      </w:r>
    </w:p>
    <w:p>
      <w:pPr>
        <w:pStyle w:val="ListParagraph"/>
        <w:numPr>
          <w:ilvl w:val="0"/>
          <w:numId w:val="2"/>
        </w:numPr>
        <w:spacing w:after="80" w:line="276"/>
        <w:jc w:val="both"/>
      </w:pPr>
      <w:r>
        <w:rPr>
          <w:rFonts w:ascii="Calibri" w:cs="Calibri" w:eastAsia="Calibri" w:hAnsi="Calibri"/>
          <w:sz w:val="22"/>
          <w:szCs w:val="22"/>
        </w:rPr>
        <w:t xml:space="preserve">ouvrir le capital à des partenaires et à des investisseurs, pour changer d’échelle ;</w:t>
      </w:r>
    </w:p>
    <w:p>
      <w:pPr>
        <w:pStyle w:val="ListParagraph"/>
        <w:numPr>
          <w:ilvl w:val="0"/>
          <w:numId w:val="2"/>
        </w:numPr>
        <w:spacing w:after="80" w:line="276"/>
        <w:jc w:val="both"/>
      </w:pPr>
      <w:r>
        <w:rPr>
          <w:rFonts w:ascii="Calibri" w:cs="Calibri" w:eastAsia="Calibri" w:hAnsi="Calibri"/>
          <w:sz w:val="22"/>
          <w:szCs w:val="22"/>
        </w:rPr>
        <w:t xml:space="preserve">détenir et exploiter durablement les actifs valorisables : brevets, licences, données ;</w:t>
      </w:r>
    </w:p>
    <w:p>
      <w:pPr>
        <w:pStyle w:val="ListParagraph"/>
        <w:numPr>
          <w:ilvl w:val="0"/>
          <w:numId w:val="2"/>
        </w:numPr>
        <w:spacing w:after="80" w:line="276"/>
        <w:jc w:val="both"/>
      </w:pPr>
      <w:r>
        <w:rPr>
          <w:rFonts w:ascii="Calibri" w:cs="Calibri" w:eastAsia="Calibri" w:hAnsi="Calibri"/>
          <w:sz w:val="22"/>
          <w:szCs w:val="22"/>
        </w:rPr>
        <w:t xml:space="preserve">séparer clairement l’intérêt général, financé par le don, et l’activité marchande.</w:t>
      </w:r>
    </w:p>
    <w:p>
      <w:pPr>
        <w:spacing w:after="120" w:before="80" w:line="276"/>
        <w:jc w:val="both"/>
      </w:pPr>
      <w:r>
        <w:rPr>
          <w:rFonts w:ascii="Calibri" w:cs="Calibri" w:eastAsia="Calibri" w:hAnsi="Calibri"/>
          <w:sz w:val="22"/>
          <w:szCs w:val="22"/>
        </w:rPr>
        <w:t xml:space="preserve">Le fonds peut conserver une participation dans ces structures. Les revenus qu’il en retire — dividendes, redevances, produits de cession — lui reviennent et sont réinvestis dans ses programmes : ce circuit renforce progressivement la soutenabilité du modèle.</w:t>
      </w:r>
    </w:p>
    <w:p>
      <w:pPr>
        <w:pStyle w:val="Heading2"/>
        <w:keepNext/>
        <w:spacing w:after="120" w:before="260"/>
      </w:pPr>
      <w:r>
        <w:rPr>
          <w:rFonts w:ascii="Calibri" w:cs="Calibri" w:eastAsia="Calibri" w:hAnsi="Calibri"/>
          <w:b/>
          <w:bCs/>
          <w:color w:val="0E8A8A"/>
          <w:sz w:val="24"/>
          <w:szCs w:val="24"/>
        </w:rPr>
        <w:t xml:space="preserve">3.1 Panorama des outils</w:t>
      </w:r>
    </w:p>
    <w:p>
      <w:pPr>
        <w:spacing w:after="120" w:before="0" w:line="276"/>
        <w:jc w:val="both"/>
      </w:pPr>
      <w:r>
        <w:rPr>
          <w:rFonts w:ascii="Calibri" w:cs="Calibri" w:eastAsia="Calibri" w:hAnsi="Calibri"/>
          <w:sz w:val="22"/>
          <w:szCs w:val="22"/>
        </w:rPr>
        <w:t xml:space="preserve">Les outils identifiés à ce stade sont présentés ci-dessous ; la liste sera complétée à mesure que les programmes avancent.</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500"/>
        <w:gridCol w:w="1150"/>
        <w:gridCol w:w="3700"/>
        <w:gridCol w:w="2676"/>
      </w:tblGrid>
      <w:tr>
        <w:trPr>
          <w:tblHeader/>
        </w:trPr>
        <w:tc>
          <w:tcPr>
            <w:tcW w:type="dxa" w:w="15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Entité</w:t>
            </w:r>
          </w:p>
        </w:tc>
        <w:tc>
          <w:tcPr>
            <w:tcW w:type="dxa" w:w="115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Statut</w:t>
            </w:r>
          </w:p>
        </w:tc>
        <w:tc>
          <w:tcPr>
            <w:tcW w:type="dxa" w:w="37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Rôle</w:t>
            </w:r>
          </w:p>
        </w:tc>
        <w:tc>
          <w:tcPr>
            <w:tcW w:type="dxa" w:w="2676"/>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Séparation des rôles</w:t>
            </w:r>
          </w:p>
        </w:tc>
      </w:tr>
      <w:tr>
        <w:trPr>
          <w:cantSplit w:val="false"/>
        </w:trPr>
        <w:tc>
          <w:tcPr>
            <w:tcW w:type="dxa" w:w="15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Association Mare Durabilis</w:t>
            </w:r>
          </w:p>
        </w:tc>
        <w:tc>
          <w:tcPr>
            <w:tcW w:type="dxa" w:w="115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Association loi 1901</w:t>
            </w:r>
          </w:p>
        </w:tc>
        <w:tc>
          <w:tcPr>
            <w:tcW w:type="dxa" w:w="3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Structure de pilotage de l’écosystème. Porte les financements publics du fonctionnement et emploie le chef de projet, seul salarié, dont le temps se répartit entre trois entités :</w:t>
            </w:r>
          </w:p>
          <w:p>
            <w:pPr>
              <w:spacing w:after="0" w:line="264"/>
              <w:jc w:val="left"/>
            </w:pPr>
            <w:r>
              <w:rPr>
                <w:rFonts w:ascii="Calibri" w:cs="Calibri" w:eastAsia="Calibri" w:hAnsi="Calibri"/>
                <w:sz w:val="18"/>
                <w:szCs w:val="18"/>
              </w:rPr>
              <w:t xml:space="preserve">– </w:t>
            </w:r>
            <w:r>
              <w:rPr>
                <w:rFonts w:ascii="Calibri" w:cs="Calibri" w:eastAsia="Calibri" w:hAnsi="Calibri"/>
                <w:i w:val="false"/>
                <w:iCs w:val="false"/>
                <w:sz w:val="18"/>
                <w:szCs w:val="18"/>
              </w:rPr>
              <w:t xml:space="preserve">pour l’association (0,60 ETP)</w:t>
            </w:r>
            <w:r>
              <w:rPr>
                <w:rFonts w:ascii="Calibri" w:cs="Calibri" w:eastAsia="Calibri" w:hAnsi="Calibri"/>
                <w:sz w:val="18"/>
                <w:szCs w:val="18"/>
              </w:rPr>
              <w:t xml:space="preserve"> : animation de l’écosystème (fonctionnement conjoint des entités, préparation et suivi des instances, circulation de l’information et des décisions, calendrier commun), concertation avec les partenaires extérieurs, montage des dossiers de financement public des projets ;</w:t>
            </w:r>
          </w:p>
          <w:p>
            <w:pPr>
              <w:spacing w:after="0" w:line="264"/>
              <w:jc w:val="left"/>
            </w:pPr>
            <w:r>
              <w:rPr>
                <w:rFonts w:ascii="Calibri" w:cs="Calibri" w:eastAsia="Calibri" w:hAnsi="Calibri"/>
                <w:sz w:val="18"/>
                <w:szCs w:val="18"/>
              </w:rPr>
              <w:t xml:space="preserve">– </w:t>
            </w:r>
            <w:r>
              <w:rPr>
                <w:rFonts w:ascii="Calibri" w:cs="Calibri" w:eastAsia="Calibri" w:hAnsi="Calibri"/>
                <w:i w:val="false"/>
                <w:iCs w:val="false"/>
                <w:sz w:val="18"/>
                <w:szCs w:val="18"/>
              </w:rPr>
              <w:t xml:space="preserve">pour le fonds (0,20 ETP, refacturé)</w:t>
            </w:r>
            <w:r>
              <w:rPr>
                <w:rFonts w:ascii="Calibri" w:cs="Calibri" w:eastAsia="Calibri" w:hAnsi="Calibri"/>
                <w:sz w:val="18"/>
                <w:szCs w:val="18"/>
              </w:rPr>
              <w:t xml:space="preserve"> : comités consultatifs et conseil d’administration, rédaction des cahiers des charges, instruction des projets, recherche de mécènes ;</w:t>
            </w:r>
          </w:p>
          <w:p>
            <w:pPr>
              <w:spacing w:after="0" w:line="264"/>
              <w:jc w:val="left"/>
            </w:pPr>
            <w:r>
              <w:rPr>
                <w:rFonts w:ascii="Calibri" w:cs="Calibri" w:eastAsia="Calibri" w:hAnsi="Calibri"/>
                <w:sz w:val="18"/>
                <w:szCs w:val="18"/>
              </w:rPr>
              <w:t xml:space="preserve">– </w:t>
            </w:r>
            <w:r>
              <w:rPr>
                <w:rFonts w:ascii="Calibri" w:cs="Calibri" w:eastAsia="Calibri" w:hAnsi="Calibri"/>
                <w:i w:val="false"/>
                <w:iCs w:val="false"/>
                <w:sz w:val="18"/>
                <w:szCs w:val="18"/>
              </w:rPr>
              <w:t xml:space="preserve">pour Mare Services (0,20 ETP, refacturé)</w:t>
            </w:r>
            <w:r>
              <w:rPr>
                <w:rFonts w:ascii="Calibri" w:cs="Calibri" w:eastAsia="Calibri" w:hAnsi="Calibri"/>
                <w:sz w:val="18"/>
                <w:szCs w:val="18"/>
              </w:rPr>
              <w:t xml:space="preserve"> : gestion de la plateforme.</w:t>
            </w:r>
          </w:p>
          <w:p>
            <w:pPr>
              <w:spacing w:after="0" w:line="264"/>
              <w:jc w:val="left"/>
            </w:pPr>
            <w:r>
              <w:rPr>
                <w:rFonts w:ascii="Calibri" w:cs="Calibri" w:eastAsia="Calibri" w:hAnsi="Calibri"/>
                <w:sz w:val="18"/>
                <w:szCs w:val="18"/>
              </w:rPr>
              <w:t xml:space="preserve">Peut porter le dossier public d’un projet mené en propre quand il est éligible, le fonds apportant la part privée.</w:t>
            </w:r>
          </w:p>
        </w:tc>
        <w:tc>
          <w:tcPr>
            <w:tcW w:type="dxa" w:w="267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Ne reçoit ni mécénat ni don ouvrant droit à reçu fiscal.</w:t>
            </w:r>
          </w:p>
          <w:p>
            <w:pPr>
              <w:spacing w:after="0" w:line="264"/>
              <w:jc w:val="left"/>
            </w:pPr>
            <w:r>
              <w:rPr>
                <w:rFonts w:ascii="Calibri" w:cs="Calibri" w:eastAsia="Calibri" w:hAnsi="Calibri"/>
                <w:sz w:val="18"/>
                <w:szCs w:val="18"/>
              </w:rPr>
              <w:t xml:space="preserve">Ne subventionne aucun projet : ne porte des financements publics que pour son fonctionnement et, le cas échéant, pour un projet mené en propre éligible.</w:t>
            </w:r>
          </w:p>
          <w:p>
            <w:pPr>
              <w:spacing w:after="0" w:line="264"/>
              <w:jc w:val="left"/>
            </w:pPr>
            <w:r>
              <w:rPr>
                <w:rFonts w:ascii="Calibri" w:cs="Calibri" w:eastAsia="Calibri" w:hAnsi="Calibri"/>
                <w:sz w:val="18"/>
                <w:szCs w:val="18"/>
              </w:rPr>
              <w:t xml:space="preserve">N’exerce pas d’activité commerciale.</w:t>
            </w:r>
          </w:p>
          <w:p>
            <w:pPr>
              <w:spacing w:after="0" w:line="264"/>
              <w:jc w:val="left"/>
            </w:pPr>
            <w:r>
              <w:rPr>
                <w:rFonts w:ascii="Calibri" w:cs="Calibri" w:eastAsia="Calibri" w:hAnsi="Calibri"/>
                <w:sz w:val="18"/>
                <w:szCs w:val="18"/>
              </w:rPr>
              <w:t xml:space="preserve">Instruit les projets pour le fonds, sans décider de l’octroi de ses financements.</w:t>
            </w:r>
          </w:p>
          <w:p>
            <w:pPr>
              <w:spacing w:after="0" w:line="264"/>
              <w:jc w:val="left"/>
            </w:pPr>
            <w:r>
              <w:rPr>
                <w:rFonts w:ascii="Calibri" w:cs="Calibri" w:eastAsia="Calibri" w:hAnsi="Calibri"/>
                <w:sz w:val="18"/>
                <w:szCs w:val="18"/>
              </w:rPr>
              <w:t xml:space="preserve">Facture au fonds et à Mare Services le temps et les moyens matériels qu’elle leur consacre.</w:t>
            </w:r>
          </w:p>
        </w:tc>
      </w:tr>
      <w:tr>
        <w:trPr>
          <w:cantSplit w:val="false"/>
        </w:trPr>
        <w:tc>
          <w:tcPr>
            <w:tcW w:type="dxa" w:w="15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Fonds de dotation Mare Durabilis</w:t>
            </w:r>
          </w:p>
        </w:tc>
        <w:tc>
          <w:tcPr>
            <w:tcW w:type="dxa" w:w="115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Fonds de dotation, loi du 4 août 2008</w:t>
            </w:r>
          </w:p>
        </w:tc>
        <w:tc>
          <w:tcPr>
            <w:tcW w:type="dxa" w:w="3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Reçoit dons et mécénat et émet les reçus fiscaux.</w:t>
            </w:r>
          </w:p>
          <w:p>
            <w:pPr>
              <w:spacing w:after="0" w:line="264"/>
              <w:jc w:val="left"/>
            </w:pPr>
            <w:r>
              <w:rPr>
                <w:rFonts w:ascii="Calibri" w:cs="Calibri" w:eastAsia="Calibri" w:hAnsi="Calibri"/>
                <w:sz w:val="18"/>
                <w:szCs w:val="18"/>
              </w:rPr>
              <w:t xml:space="preserve">Arrête les programmes d’action et leurs enveloppes, fixe les conditions d’intervention et approuve les cahiers des charges avant publication. Sélectionne, conventionne et contrôle les projets financés.</w:t>
            </w:r>
          </w:p>
          <w:p>
            <w:pPr>
              <w:spacing w:after="0" w:line="264"/>
              <w:jc w:val="left"/>
            </w:pPr>
            <w:r>
              <w:rPr>
                <w:rFonts w:ascii="Calibri" w:cs="Calibri" w:eastAsia="Calibri" w:hAnsi="Calibri"/>
                <w:sz w:val="18"/>
                <w:szCs w:val="18"/>
              </w:rPr>
              <w:t xml:space="preserve">Finance aussi, sur ses ressources privées, la part non publique du fonctionnement de l’association, les locaux et le mobilier mis à sa disposition, l’apport de démarrage des structures et le déficit de Mare Services tant que la commission ne le couvre pas.</w:t>
            </w:r>
          </w:p>
          <w:p>
            <w:pPr>
              <w:spacing w:after="0" w:line="264"/>
              <w:jc w:val="left"/>
            </w:pPr>
            <w:r>
              <w:rPr>
                <w:rFonts w:ascii="Calibri" w:cs="Calibri" w:eastAsia="Calibri" w:hAnsi="Calibri"/>
                <w:sz w:val="18"/>
                <w:szCs w:val="18"/>
              </w:rPr>
              <w:t xml:space="preserve">Détient des participations et réinvestit les revenus qu’il en retire.</w:t>
            </w:r>
          </w:p>
        </w:tc>
        <w:tc>
          <w:tcPr>
            <w:tcW w:type="dxa" w:w="267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Ne sollicite ni ne reçoit aucun financement public.</w:t>
            </w:r>
          </w:p>
          <w:p>
            <w:pPr>
              <w:spacing w:after="0" w:line="264"/>
              <w:jc w:val="left"/>
            </w:pPr>
            <w:r>
              <w:rPr>
                <w:rFonts w:ascii="Calibri" w:cs="Calibri" w:eastAsia="Calibri" w:hAnsi="Calibri"/>
                <w:sz w:val="18"/>
                <w:szCs w:val="18"/>
              </w:rPr>
              <w:t xml:space="preserve">Ne rédige pas ses cahiers des charges : le chef de projet s’en charge, son temps étant refacturé au fonds.</w:t>
            </w:r>
          </w:p>
          <w:p>
            <w:pPr>
              <w:spacing w:after="0" w:line="264"/>
              <w:jc w:val="left"/>
            </w:pPr>
            <w:r>
              <w:rPr>
                <w:rFonts w:ascii="Calibri" w:cs="Calibri" w:eastAsia="Calibri" w:hAnsi="Calibri"/>
                <w:sz w:val="18"/>
                <w:szCs w:val="18"/>
              </w:rPr>
              <w:t xml:space="preserve">N’exerce pas d’activité commerciale à titre habituel. Ne distribue aucun résultat. Ne commercialise ni données ni licences.</w:t>
            </w:r>
          </w:p>
          <w:p>
            <w:pPr>
              <w:spacing w:after="0" w:line="264"/>
              <w:jc w:val="left"/>
            </w:pPr>
            <w:r>
              <w:rPr>
                <w:rFonts w:ascii="Calibri" w:cs="Calibri" w:eastAsia="Calibri" w:hAnsi="Calibri"/>
                <w:sz w:val="18"/>
                <w:szCs w:val="18"/>
              </w:rPr>
              <w:t xml:space="preserve">Ne porte le risque des activités économiques qu’à hauteur des apports décidés par son conseil.</w:t>
            </w:r>
          </w:p>
        </w:tc>
      </w:tr>
      <w:tr>
        <w:trPr>
          <w:cantSplit w:val="false"/>
        </w:trPr>
        <w:tc>
          <w:tcPr>
            <w:tcW w:type="dxa" w:w="15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Mare Services — plateforme de services</w:t>
            </w:r>
          </w:p>
        </w:tc>
        <w:tc>
          <w:tcPr>
            <w:tcW w:type="dxa" w:w="115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À définir</w:t>
            </w:r>
          </w:p>
        </w:tc>
        <w:tc>
          <w:tcPr>
            <w:tcW w:type="dxa" w:w="3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Structure un marché existant : met en relation les professionnels avec les commanditaires de prestations (organismes scientifiques, bureaux d’études) et avec les touristes (pesca-tourisme).</w:t>
            </w:r>
          </w:p>
          <w:p>
            <w:pPr>
              <w:spacing w:after="0" w:line="264"/>
              <w:jc w:val="left"/>
            </w:pPr>
            <w:r>
              <w:rPr>
                <w:rFonts w:ascii="Calibri" w:cs="Calibri" w:eastAsia="Calibri" w:hAnsi="Calibri"/>
                <w:sz w:val="18"/>
                <w:szCs w:val="18"/>
              </w:rPr>
              <w:t xml:space="preserve">Point de passage obligé des commandes de l’écosystème : publication des cahiers des charges, recueil des candidatures, suivi d’exécution, paiement.</w:t>
            </w:r>
          </w:p>
          <w:p>
            <w:pPr>
              <w:spacing w:after="0" w:line="264"/>
              <w:jc w:val="left"/>
            </w:pPr>
            <w:r>
              <w:rPr>
                <w:rFonts w:ascii="Calibri" w:cs="Calibri" w:eastAsia="Calibri" w:hAnsi="Calibri"/>
                <w:sz w:val="18"/>
                <w:szCs w:val="18"/>
              </w:rPr>
              <w:t xml:space="preserve">80 % du montant de chaque mission reviennent au professionnel, 20 % à la plateforme pour couvrir ses charges.</w:t>
            </w:r>
          </w:p>
        </w:tc>
        <w:tc>
          <w:tcPr>
            <w:tcW w:type="dxa" w:w="267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Ne décide ni des programmes ni de l’attribution des financements.</w:t>
            </w:r>
          </w:p>
          <w:p>
            <w:pPr>
              <w:spacing w:after="0" w:line="264"/>
              <w:jc w:val="left"/>
            </w:pPr>
            <w:r>
              <w:rPr>
                <w:rFonts w:ascii="Calibri" w:cs="Calibri" w:eastAsia="Calibri" w:hAnsi="Calibri"/>
                <w:sz w:val="18"/>
                <w:szCs w:val="18"/>
              </w:rPr>
              <w:t xml:space="preserve">Ne détient pas les données valorisées.</w:t>
            </w:r>
          </w:p>
          <w:p>
            <w:pPr>
              <w:spacing w:after="0" w:line="264"/>
              <w:jc w:val="left"/>
            </w:pPr>
            <w:r>
              <w:rPr>
                <w:rFonts w:ascii="Calibri" w:cs="Calibri" w:eastAsia="Calibri" w:hAnsi="Calibri"/>
                <w:sz w:val="18"/>
                <w:szCs w:val="18"/>
              </w:rPr>
              <w:t xml:space="preserve">[Ne peut être attributaire des cahiers des charges qu’elle publie — règle à arrêter.]</w:t>
            </w:r>
          </w:p>
        </w:tc>
      </w:tr>
      <w:tr>
        <w:trPr>
          <w:cantSplit w:val="false"/>
        </w:trPr>
        <w:tc>
          <w:tcPr>
            <w:tcW w:type="dxa" w:w="15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Structure de détention du matériel</w:t>
            </w:r>
          </w:p>
        </w:tc>
        <w:tc>
          <w:tcPr>
            <w:tcW w:type="dxa" w:w="115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À définir</w:t>
            </w:r>
          </w:p>
        </w:tc>
        <w:tc>
          <w:tcPr>
            <w:tcW w:type="dxa" w:w="3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Acquiert, détient et met à disposition, via Mare Services, les équipements mobilisés par les programmes P1 à P4.</w:t>
            </w:r>
          </w:p>
        </w:tc>
        <w:tc>
          <w:tcPr>
            <w:tcW w:type="dxa" w:w="267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N’exploite pas les données produites.</w:t>
            </w:r>
          </w:p>
          <w:p>
            <w:pPr>
              <w:spacing w:after="0" w:line="264"/>
              <w:jc w:val="left"/>
            </w:pPr>
            <w:r>
              <w:rPr>
                <w:rFonts w:ascii="Calibri" w:cs="Calibri" w:eastAsia="Calibri" w:hAnsi="Calibri"/>
                <w:sz w:val="18"/>
                <w:szCs w:val="18"/>
              </w:rPr>
              <w:t xml:space="preserve">Ne finance aucun projet.</w:t>
            </w:r>
          </w:p>
          <w:p>
            <w:pPr>
              <w:spacing w:after="0" w:line="264"/>
              <w:jc w:val="left"/>
            </w:pPr>
            <w:r>
              <w:rPr>
                <w:rFonts w:ascii="Calibri" w:cs="Calibri" w:eastAsia="Calibri" w:hAnsi="Calibri"/>
                <w:sz w:val="18"/>
                <w:szCs w:val="18"/>
              </w:rPr>
              <w:t xml:space="preserve">Ne cède aucun équipement sans l’accord du fonds.</w:t>
            </w:r>
          </w:p>
        </w:tc>
      </w:tr>
      <w:tr>
        <w:trPr>
          <w:cantSplit w:val="false"/>
        </w:trPr>
        <w:tc>
          <w:tcPr>
            <w:tcW w:type="dxa" w:w="15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Structure de valorisation des données</w:t>
            </w:r>
          </w:p>
        </w:tc>
        <w:tc>
          <w:tcPr>
            <w:tcW w:type="dxa" w:w="115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À définir</w:t>
            </w:r>
          </w:p>
        </w:tc>
        <w:tc>
          <w:tcPr>
            <w:tcW w:type="dxa" w:w="3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Agrège, qualifie et héberge les données produites par les programmes, principalement P1.</w:t>
            </w:r>
          </w:p>
          <w:p>
            <w:pPr>
              <w:spacing w:after="0" w:line="264"/>
              <w:jc w:val="left"/>
            </w:pPr>
            <w:r>
              <w:rPr>
                <w:rFonts w:ascii="Calibri" w:cs="Calibri" w:eastAsia="Calibri" w:hAnsi="Calibri"/>
                <w:sz w:val="18"/>
                <w:szCs w:val="18"/>
              </w:rPr>
              <w:t xml:space="preserve">Constitue et maintient les bases, en garantit la propriété à l’écosystème et en concède l’usage sous licence à des tiers : collectivités, bureaux d’études, assureurs, industriels, organismes de recherche.</w:t>
            </w:r>
          </w:p>
        </w:tc>
        <w:tc>
          <w:tcPr>
            <w:tcW w:type="dxa" w:w="267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Ne collecte pas elle-même en mer.</w:t>
            </w:r>
          </w:p>
          <w:p>
            <w:pPr>
              <w:spacing w:after="0" w:line="264"/>
              <w:jc w:val="left"/>
            </w:pPr>
            <w:r>
              <w:rPr>
                <w:rFonts w:ascii="Calibri" w:cs="Calibri" w:eastAsia="Calibri" w:hAnsi="Calibri"/>
                <w:sz w:val="18"/>
                <w:szCs w:val="18"/>
              </w:rPr>
              <w:t xml:space="preserve">Ne finance aucun projet.</w:t>
            </w:r>
          </w:p>
          <w:p>
            <w:pPr>
              <w:spacing w:after="0" w:line="264"/>
              <w:jc w:val="left"/>
            </w:pPr>
            <w:r>
              <w:rPr>
                <w:rFonts w:ascii="Calibri" w:cs="Calibri" w:eastAsia="Calibri" w:hAnsi="Calibri"/>
                <w:sz w:val="18"/>
                <w:szCs w:val="18"/>
              </w:rPr>
              <w:t xml:space="preserve">Ne cède pas la propriété des données sans l’accord du fonds.</w:t>
            </w:r>
          </w:p>
        </w:tc>
      </w:tr>
      <w:tr>
        <w:trPr>
          <w:cantSplit w:val="false"/>
        </w:trPr>
        <w:tc>
          <w:tcPr>
            <w:tcW w:type="dxa" w:w="1500"/>
            <w:shd w:fill="EEF1F8" w:color="auto" w:val="clear"/>
            <w:tcMar>
              <w:top w:type="dxa" w:w="80"/>
              <w:left w:type="dxa" w:w="120"/>
              <w:bottom w:type="dxa" w:w="80"/>
              <w:right w:type="dxa" w:w="120"/>
            </w:tcMar>
            <w:vAlign w:val="center"/>
          </w:tcPr>
          <w:p>
            <w:pPr>
              <w:spacing w:after="0" w:line="264"/>
              <w:jc w:val="left"/>
            </w:pPr>
            <w:r>
              <w:rPr>
                <w:rFonts w:ascii="Calibri" w:cs="Calibri" w:eastAsia="Calibri" w:hAnsi="Calibri"/>
                <w:i w:val="false"/>
                <w:iCs w:val="false"/>
                <w:sz w:val="18"/>
                <w:szCs w:val="18"/>
              </w:rPr>
              <w:t xml:space="preserve">Start-up de programme</w:t>
            </w:r>
          </w:p>
        </w:tc>
        <w:tc>
          <w:tcPr>
            <w:tcW w:type="dxa" w:w="115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SAS</w:t>
            </w:r>
          </w:p>
        </w:tc>
        <w:tc>
          <w:tcPr>
            <w:tcW w:type="dxa" w:w="3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Porte jusqu’au marché une innovation issue d’un programme, lorsque son déploiement suppose un capital, une équipe dédiée et une prise de risque que le fonds n’a pas vocation à assumer.</w:t>
            </w:r>
          </w:p>
          <w:p>
            <w:pPr>
              <w:spacing w:after="0" w:line="264"/>
              <w:jc w:val="left"/>
            </w:pPr>
            <w:r>
              <w:rPr>
                <w:rFonts w:ascii="Calibri" w:cs="Calibri" w:eastAsia="Calibri" w:hAnsi="Calibri"/>
                <w:sz w:val="18"/>
                <w:szCs w:val="18"/>
              </w:rPr>
              <w:t xml:space="preserve">Peut aussi exécuter une commande du fonds sur cahier des charges.</w:t>
            </w:r>
          </w:p>
        </w:tc>
        <w:tc>
          <w:tcPr>
            <w:tcW w:type="dxa" w:w="267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Ne reçoit aucun financement du fonds hors cahier des charges et convention.</w:t>
            </w:r>
          </w:p>
          <w:p>
            <w:pPr>
              <w:spacing w:after="0" w:line="264"/>
              <w:jc w:val="left"/>
            </w:pPr>
            <w:r>
              <w:rPr>
                <w:rFonts w:ascii="Calibri" w:cs="Calibri" w:eastAsia="Calibri" w:hAnsi="Calibri"/>
                <w:sz w:val="18"/>
                <w:szCs w:val="18"/>
              </w:rPr>
              <w:t xml:space="preserve">Ne s’approprie pas d’office les résultats des programmes.</w:t>
            </w:r>
          </w:p>
          <w:p>
            <w:pPr>
              <w:spacing w:after="0" w:line="264"/>
              <w:jc w:val="left"/>
            </w:pPr>
            <w:r>
              <w:rPr>
                <w:rFonts w:ascii="Calibri" w:cs="Calibri" w:eastAsia="Calibri" w:hAnsi="Calibri"/>
                <w:sz w:val="18"/>
                <w:szCs w:val="18"/>
              </w:rPr>
              <w:t xml:space="preserve">N’engage pas le fonds.</w:t>
            </w:r>
          </w:p>
        </w:tc>
      </w:tr>
    </w:tbl>
    <w:p>
      <w:pPr>
        <w:pStyle w:val="Heading1"/>
        <w:keepNext/>
        <w:pageBreakBefore/>
        <w:shd w:fill="16256B" w:color="auto" w:val="clear"/>
        <w:spacing w:after="240" w:before="200"/>
      </w:pPr>
      <w:r>
        <w:rPr>
          <w:rFonts w:ascii="Calibri" w:cs="Calibri" w:eastAsia="Calibri" w:hAnsi="Calibri"/>
          <w:b/>
          <w:bCs/>
          <w:color w:val="FFFFFF"/>
          <w:sz w:val="28"/>
          <w:szCs w:val="28"/>
        </w:rPr>
        <w:t xml:space="preserve">CE QUI A CHANGÉ ET POURQUOI</w:t>
      </w:r>
    </w:p>
    <w:tbl>
      <w:tblPr>
        <w:tblW w:type="dxa" w:w="9026"/>
        <w:tblBorders>
          <w:top w:val="single" w:color="C9D2DE" w:sz="4"/>
          <w:left w:val="single" w:color="C9D2DE" w:sz="4"/>
          <w:bottom w:val="single" w:color="C9D2DE" w:sz="4"/>
          <w:right w:val="single" w:color="C9D2DE" w:sz="4"/>
          <w:insideH w:val="single" w:color="C9D2DE" w:sz="4"/>
          <w:insideV w:val="single" w:color="C9D2DE" w:sz="4"/>
        </w:tblBorders>
      </w:tblPr>
      <w:tblGrid>
        <w:gridCol w:w="1700"/>
        <w:gridCol w:w="4026"/>
        <w:gridCol w:w="3300"/>
      </w:tblGrid>
      <w:tr>
        <w:trPr>
          <w:tblHeader/>
        </w:trPr>
        <w:tc>
          <w:tcPr>
            <w:tcW w:type="dxa" w:w="17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Passage</w:t>
            </w:r>
          </w:p>
        </w:tc>
        <w:tc>
          <w:tcPr>
            <w:tcW w:type="dxa" w:w="4026"/>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Modification</w:t>
            </w:r>
          </w:p>
        </w:tc>
        <w:tc>
          <w:tcPr>
            <w:tcW w:type="dxa" w:w="3300"/>
            <w:shd w:fill="16256B" w:color="auto" w:val="clear"/>
            <w:tcMar>
              <w:top w:type="dxa" w:w="80"/>
              <w:left w:type="dxa" w:w="120"/>
              <w:bottom w:type="dxa" w:w="80"/>
              <w:right w:type="dxa" w:w="120"/>
            </w:tcMar>
            <w:vAlign w:val="center"/>
          </w:tcPr>
          <w:p>
            <w:pPr>
              <w:spacing w:after="0" w:line="264"/>
              <w:jc w:val="left"/>
            </w:pPr>
            <w:r>
              <w:rPr>
                <w:rFonts w:ascii="Calibri" w:cs="Calibri" w:eastAsia="Calibri" w:hAnsi="Calibri"/>
                <w:b/>
                <w:bCs/>
                <w:color w:val="FFFFFF"/>
                <w:sz w:val="18"/>
                <w:szCs w:val="18"/>
              </w:rPr>
              <w:t xml:space="preserve">Raison</w:t>
            </w:r>
          </w:p>
        </w:tc>
      </w:tr>
      <w:tr>
        <w:trPr>
          <w:cantSplit/>
        </w:trPr>
        <w:tc>
          <w:tcPr>
            <w:tcW w:type="dxa" w:w="1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Introduction</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 Assurer la gouvernance de l’écosystème » retiré de la liste des avantages des structures dédiées ; la gouvernance est rattachée à l’association, dans le premier point.</w:t>
            </w:r>
          </w:p>
        </w:tc>
        <w:tc>
          <w:tcPr>
            <w:tcW w:type="dxa" w:w="3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Les structures commerciales n’assurent pas la gouvernance : c’est le rôle de l’association.</w:t>
            </w:r>
          </w:p>
        </w:tc>
      </w:tr>
      <w:tr>
        <w:trPr>
          <w:cantSplit/>
        </w:trPr>
        <w:tc>
          <w:tcPr>
            <w:tcW w:type="dxa" w:w="1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Introduction</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Deuxième raison reformulée (« l’exercice d’activités économiques ») avec quatre exemples concrets.</w:t>
            </w:r>
          </w:p>
        </w:tc>
        <w:tc>
          <w:tcPr>
            <w:tcW w:type="dxa" w:w="3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Plus précis que « le financement et la conduite des projets », que le fonds assure lui-même.</w:t>
            </w:r>
          </w:p>
        </w:tc>
      </w:tr>
      <w:tr>
        <w:trPr>
          <w:cantSplit/>
        </w:trPr>
        <w:tc>
          <w:tcPr>
            <w:tcW w:type="dxa" w:w="1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Association — rôle</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Missions du chef de projet réparties selon la clé 60 / 20 / 20 : ingénierie privée, instruction des projets et relation avec les mécènes rattachées au fonds.</w:t>
            </w:r>
          </w:p>
        </w:tc>
        <w:tc>
          <w:tcPr>
            <w:tcW w:type="dxa" w:w="3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Du temps payé sur fonds publics ne peut pas servir le fonds (note 3.4) ; cohérence avec la fiche de poste et le budget.</w:t>
            </w:r>
          </w:p>
        </w:tc>
      </w:tr>
      <w:tr>
        <w:trPr>
          <w:cantSplit/>
        </w:trPr>
        <w:tc>
          <w:tcPr>
            <w:tcW w:type="dxa" w:w="1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Association — séparation</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 Ne finance pas les projets d’intérêt général » remplacé : l’association peut porter le dossier public d’un projet mené en propre éligible.</w:t>
            </w:r>
          </w:p>
        </w:tc>
        <w:tc>
          <w:tcPr>
            <w:tcW w:type="dxa" w:w="3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Cohérence avec la fiche de poste (montage des dossiers publics).</w:t>
            </w:r>
          </w:p>
        </w:tc>
      </w:tr>
      <w:tr>
        <w:trPr>
          <w:cantSplit/>
        </w:trPr>
        <w:tc>
          <w:tcPr>
            <w:tcW w:type="dxa" w:w="1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Association — séparation</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Ajout de la facturation au fonds et à Mare Services.</w:t>
            </w:r>
          </w:p>
        </w:tc>
        <w:tc>
          <w:tcPr>
            <w:tcW w:type="dxa" w:w="3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C’est ce qui rend la séparation vérifiable.</w:t>
            </w:r>
          </w:p>
        </w:tc>
      </w:tr>
      <w:tr>
        <w:trPr>
          <w:cantSplit/>
        </w:trPr>
        <w:tc>
          <w:tcPr>
            <w:tcW w:type="dxa" w:w="1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Fonds — rôle</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Ajout du financement de la part non publique de l’association, des locaux et du mobilier, des apports de démarrage et du déficit de Mare Services.</w:t>
            </w:r>
          </w:p>
        </w:tc>
        <w:tc>
          <w:tcPr>
            <w:tcW w:type="dxa" w:w="3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Reprend les blocs B et C du budget du fonds.</w:t>
            </w:r>
          </w:p>
        </w:tc>
      </w:tr>
      <w:tr>
        <w:trPr>
          <w:cantSplit/>
        </w:trPr>
        <w:tc>
          <w:tcPr>
            <w:tcW w:type="dxa" w:w="1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Fonds — séparation</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 Ne porte pas le risque d’exploitation » nuancé : à hauteur des apports décidés par le conseil.</w:t>
            </w:r>
          </w:p>
        </w:tc>
        <w:tc>
          <w:tcPr>
            <w:tcW w:type="dxa" w:w="3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Le fonds couvre bien le déficit de Mare Services (bloc B.1).</w:t>
            </w:r>
          </w:p>
        </w:tc>
      </w:tr>
      <w:tr>
        <w:trPr>
          <w:cantSplit/>
        </w:trPr>
        <w:tc>
          <w:tcPr>
            <w:tcW w:type="dxa" w:w="1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Mare Services</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Ajout du partage 80 / 20 ; règle d’attribution laissée entre crochets, à arrêter.</w:t>
            </w:r>
          </w:p>
        </w:tc>
        <w:tc>
          <w:tcPr>
            <w:tcW w:type="dxa" w:w="3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Cohérence avec la section 3.7 et la présentation Mare Services.</w:t>
            </w:r>
          </w:p>
        </w:tc>
      </w:tr>
      <w:tr>
        <w:trPr>
          <w:cantSplit/>
        </w:trPr>
        <w:tc>
          <w:tcPr>
            <w:tcW w:type="dxa" w:w="1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Start-up</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 Start-up n° [X] » devient « Start-up de programme » ; « ne préempte pas » devient « ne s’approprie pas d’office ».</w:t>
            </w:r>
          </w:p>
        </w:tc>
        <w:tc>
          <w:tcPr>
            <w:tcW w:type="dxa" w:w="3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Plus lisible.</w:t>
            </w:r>
          </w:p>
        </w:tc>
      </w:tr>
      <w:tr>
        <w:trPr>
          <w:cantSplit/>
        </w:trPr>
        <w:tc>
          <w:tcPr>
            <w:tcW w:type="dxa" w:w="17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Ensemble</w:t>
            </w:r>
          </w:p>
        </w:tc>
        <w:tc>
          <w:tcPr>
            <w:tcW w:type="dxa" w:w="4026"/>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Phrases raccourcies, ponctuation et typographie harmonisées.</w:t>
            </w:r>
          </w:p>
        </w:tc>
        <w:tc>
          <w:tcPr>
            <w:tcW w:type="dxa" w:w="3300"/>
            <w:tcMar>
              <w:top w:type="dxa" w:w="80"/>
              <w:left w:type="dxa" w:w="120"/>
              <w:bottom w:type="dxa" w:w="80"/>
              <w:right w:type="dxa" w:w="120"/>
            </w:tcMar>
            <w:vAlign w:val="center"/>
          </w:tcPr>
          <w:p>
            <w:pPr>
              <w:spacing w:after="0" w:line="264"/>
              <w:jc w:val="left"/>
            </w:pPr>
            <w:r>
              <w:rPr>
                <w:rFonts w:ascii="Calibri" w:cs="Calibri" w:eastAsia="Calibri" w:hAnsi="Calibri"/>
                <w:sz w:val="18"/>
                <w:szCs w:val="18"/>
              </w:rPr>
              <w:t xml:space="preserve">Lisibilité.</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Mare Durabilis — Note stratégique — section 3, proposition — 29/09/2026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b/>
        <w:bCs/>
        <w:color w:val="16256B"/>
        <w:sz w:val="22"/>
        <w:szCs w:val="22"/>
      </w:rPr>
    </w:lvl>
    <w:lvl w:ilvl="1" w15:tentative="1">
      <w:start w:val="1"/>
      <w:numFmt w:val="bullet"/>
      <w:lvlText w:val="–"/>
      <w:lvlJc w:val="left"/>
      <w:pPr>
        <w:ind w:left="720" w:hanging="30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360" w:hanging="360"/>
      </w:pPr>
      <w:rPr>
        <w:rFonts w:ascii="Calibri" w:cs="Calibri" w:eastAsia="Calibri" w:hAnsi="Calibri"/>
        <w:b/>
        <w:bCs/>
        <w:color w:val="16256B"/>
        <w:sz w:val="22"/>
        <w:szCs w:val="22"/>
      </w:rPr>
    </w:lvl>
    <w:lvl w:ilvl="1" w15:tentative="1">
      <w:start w:val="1"/>
      <w:numFmt w:val="bullet"/>
      <w:lvlText w:val="–"/>
      <w:lvlJc w:val="left"/>
      <w:pPr>
        <w:ind w:left="720" w:hanging="30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360"/>
      </w:pPr>
      <w:rPr>
        <w:rFonts w:ascii="Calibri" w:cs="Calibri" w:eastAsia="Calibri" w:hAnsi="Calibri"/>
        <w:b/>
        <w:bCs/>
        <w:color w:val="16256B"/>
        <w:sz w:val="22"/>
        <w:szCs w:val="22"/>
      </w:rPr>
    </w:lvl>
    <w:lvl w:ilvl="1" w15:tentative="1">
      <w:start w:val="1"/>
      <w:numFmt w:val="bullet"/>
      <w:lvlText w:val="–"/>
      <w:lvlJc w:val="left"/>
      <w:pPr>
        <w:ind w:left="720" w:hanging="300"/>
      </w:pPr>
      <w:rPr>
        <w:rFonts w:ascii="Calibri" w:cs="Calibri" w:eastAsia="Calibri" w:hAnsi="Calibri"/>
        <w:sz w:val="22"/>
        <w:szCs w:val="22"/>
      </w:rPr>
    </w:lvl>
  </w:abstractNum>
  <w:abstractNum w:abstractNumId="5" w15:restartNumberingAfterBreak="0">
    <w:multiLevelType w:val="hybridMultilevel"/>
    <w:lvl w:ilvl="0" w15:tentative="1">
      <w:start w:val="1"/>
      <w:numFmt w:val="bullet"/>
      <w:lvlText w:val="•"/>
      <w:lvlJc w:val="left"/>
      <w:pPr>
        <w:ind w:left="360" w:hanging="300"/>
      </w:pPr>
      <w:rPr>
        <w:rFonts w:ascii="Calibri" w:cs="Calibri" w:eastAsia="Calibri" w:hAnsi="Calibri"/>
        <w:color w:val="0E8A8A"/>
      </w:rPr>
    </w:lvl>
    <w:lvl w:ilvl="1" w15:tentative="1">
      <w:start w:val="1"/>
      <w:numFmt w:val="bullet"/>
      <w:lvlText w:val="–"/>
      <w:lvlJc w:val="left"/>
      <w:pPr>
        <w:ind w:left="720" w:hanging="300"/>
      </w:pPr>
    </w:lvl>
  </w:abstractNum>
  <w:abstractNum w:abstractNumId="6" w15:restartNumberingAfterBreak="0">
    <w:multiLevelType w:val="hybridMultilevel"/>
    <w:lvl w:ilvl="0" w15:tentative="1">
      <w:start w:val="1"/>
      <w:numFmt w:val="bullet"/>
      <w:lvlText w:val="☐"/>
      <w:lvlJc w:val="left"/>
      <w:pPr>
        <w:ind w:left="360" w:hanging="360"/>
      </w:pPr>
      <w:rPr>
        <w:rFonts w:ascii="Segoe UI Symbol" w:cs="Segoe UI Symbol" w:eastAsia="Segoe UI Symbol" w:hAnsi="Segoe UI Symbol"/>
        <w:color w:val="16256B"/>
      </w:r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stratégique — section 3 : outils juridiques mobilisables</dc:title>
  <dc:creator>Clément Chardon</dc:creator>
  <cp:lastModifiedBy>Un-named</cp:lastModifiedBy>
  <cp:revision>1</cp:revision>
  <dcterms:created xsi:type="dcterms:W3CDTF">2026-09-29T06:54:15.014Z</dcterms:created>
  <dcterms:modified xsi:type="dcterms:W3CDTF">2026-09-29T06:54:15.014Z</dcterms:modified>
</cp:coreProperties>
</file>

<file path=docProps/custom.xml><?xml version="1.0" encoding="utf-8"?>
<Properties xmlns="http://schemas.openxmlformats.org/officeDocument/2006/custom-properties" xmlns:vt="http://schemas.openxmlformats.org/officeDocument/2006/docPropsVTypes"/>
</file>