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40"/>
        <w:jc w:val="left"/>
      </w:pPr>
      <w:r>
        <w:rPr>
          <w:rFonts w:ascii="Calibri" w:cs="Calibri" w:eastAsia="Calibri" w:hAnsi="Calibri"/>
          <w:b/>
          <w:bCs/>
          <w:color w:val="1F8A84"/>
          <w:sz w:val="17"/>
          <w:szCs w:val="17"/>
        </w:rPr>
        <w:t xml:space="preserve">FONDS DE DOTATION MARE DURABILIS   ·   PROGRAMME N° 2</w:t>
      </w:r>
    </w:p>
    <w:p>
      <w:pPr>
        <w:spacing w:after="0" w:before="0" w:line="240"/>
        <w:jc w:val="left"/>
      </w:pPr>
      <w:r>
        <w:rPr>
          <w:rFonts w:ascii="Calibri" w:cs="Calibri" w:eastAsia="Calibri" w:hAnsi="Calibri"/>
          <w:b/>
          <w:bCs/>
          <w:color w:val="16256B"/>
          <w:sz w:val="36"/>
          <w:szCs w:val="36"/>
        </w:rPr>
        <w:t xml:space="preserve">Fiche programme</w:t>
      </w:r>
    </w:p>
    <w:p>
      <w:pPr>
        <w:spacing w:after="60" w:before="0" w:line="240"/>
        <w:jc w:val="left"/>
      </w:pPr>
      <w:r>
        <w:rPr>
          <w:rFonts w:ascii="Calibri" w:cs="Calibri" w:eastAsia="Calibri" w:hAnsi="Calibri"/>
          <w:b/>
          <w:bCs/>
          <w:color w:val="1F8A84"/>
          <w:sz w:val="28"/>
          <w:szCs w:val="28"/>
        </w:rPr>
        <w:t xml:space="preserve">Restaurer les écosystèmes</w:t>
      </w:r>
    </w:p>
    <w:p>
      <w:pPr>
        <w:pBdr>
          <w:bottom w:val="single" w:color="16256B" w:sz="8" w:space="6"/>
        </w:pBdr>
        <w:spacing w:after="160"/>
      </w:pPr>
      <w:r>
        <w:rPr>
          <w:rFonts w:ascii="Calibri" w:cs="Calibri" w:eastAsia="Calibri" w:hAnsi="Calibri"/>
          <w:i/>
          <w:iCs/>
          <w:color w:val="6B7280"/>
          <w:sz w:val="18"/>
          <w:szCs w:val="18"/>
        </w:rPr>
        <w:t xml:space="preserve">Document de référence adopté par le conseil d’administration. Tout appel à projets et tout cahier des charges du programme en découle.</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564"/>
      </w:tblGrid>
      <w:tr>
        <w:tc>
          <w:tcPr>
            <w:tcW w:type="dxa" w:w="23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Objectif général</w:t>
            </w:r>
          </w:p>
        </w:tc>
        <w:tc>
          <w:tcPr>
            <w:tcW w:type="dxa" w:w="75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Expérimenter et déployer des solutions de restauration écologique favorisant la régénération des écosystèmes et le renouvellement des ressources halieutiques.</w:t>
            </w:r>
          </w:p>
        </w:tc>
      </w:tr>
      <w:tr>
        <w:tc>
          <w:tcPr>
            <w:tcW w:type="dxa" w:w="23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Problème traité</w:t>
            </w:r>
          </w:p>
        </w:tc>
        <w:tc>
          <w:tcPr>
            <w:tcW w:type="dxa" w:w="75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La dégradation des habitats et des fonctions écologiques — nurseries, frayères, refuges — dont dépend le renouvellement de la ressource halieutique, que la seule réduction des pressions ne suffit pas toujours à rétablir.</w:t>
            </w:r>
          </w:p>
        </w:tc>
      </w:tr>
      <w:tr>
        <w:tc>
          <w:tcPr>
            <w:tcW w:type="dxa" w:w="23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Cadre de référence</w:t>
            </w:r>
          </w:p>
        </w:tc>
        <w:tc>
          <w:tcPr>
            <w:tcW w:type="dxa" w:w="75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pPr>
            <w:r>
              <w:rPr>
                <w:rFonts w:ascii="Calibri" w:cs="Calibri" w:eastAsia="Calibri" w:hAnsi="Calibri"/>
                <w:sz w:val="18"/>
                <w:szCs w:val="18"/>
              </w:rPr>
              <w:t xml:space="preserve">Document stratégique de façade (DSF) Méditerranée, objectifs A et C, et descripteurs du bon état écologique (DCSMM) ; </w:t>
            </w:r>
            <w:hyperlink w:history="1" r:id="rIdiw0piilrd17sqamlolqj2">
              <w:r>
                <w:rPr>
                  <w:rFonts w:ascii="Calibri" w:cs="Calibri" w:eastAsia="Calibri" w:hAnsi="Calibri"/>
                  <w:color w:val="0563C1"/>
                  <w:sz w:val="18"/>
                  <w:szCs w:val="18"/>
                  <w:u w:val="single"/>
                </w:rPr>
                <w:t xml:space="preserve">stratégie de restauration écologique en Méditerranée</w:t>
              </w:r>
            </w:hyperlink>
            <w:r>
              <w:rPr>
                <w:rFonts w:ascii="Calibri" w:cs="Calibri" w:eastAsia="Calibri" w:hAnsi="Calibri"/>
                <w:sz w:val="18"/>
                <w:szCs w:val="18"/>
              </w:rPr>
              <w:t xml:space="preserve"> (DIRM, 2019) ; </w:t>
            </w:r>
            <w:hyperlink w:history="1" r:id="rIdifkng-exfieh6logvekut">
              <w:r>
                <w:rPr>
                  <w:rFonts w:ascii="Calibri" w:cs="Calibri" w:eastAsia="Calibri" w:hAnsi="Calibri"/>
                  <w:color w:val="0563C1"/>
                  <w:sz w:val="18"/>
                  <w:szCs w:val="18"/>
                  <w:u w:val="single"/>
                </w:rPr>
                <w:t xml:space="preserve">document stratégique pour l’implantation des récifs artificiels</w:t>
              </w:r>
            </w:hyperlink>
            <w:r>
              <w:rPr>
                <w:rFonts w:ascii="Calibri" w:cs="Calibri" w:eastAsia="Calibri" w:hAnsi="Calibri"/>
                <w:sz w:val="18"/>
                <w:szCs w:val="18"/>
              </w:rPr>
              <w:t xml:space="preserve"> (2012) ; </w:t>
            </w:r>
            <w:hyperlink w:history="1" r:id="rIdqqwrk7eanltwkofw27llu">
              <w:r>
                <w:rPr>
                  <w:rFonts w:ascii="Calibri" w:cs="Calibri" w:eastAsia="Calibri" w:hAnsi="Calibri"/>
                  <w:color w:val="0563C1"/>
                  <w:sz w:val="18"/>
                  <w:szCs w:val="18"/>
                  <w:u w:val="single"/>
                </w:rPr>
                <w:t xml:space="preserve">règlement (UE) 2024/1991 relatif à la restauration de la nature</w:t>
              </w:r>
            </w:hyperlink>
            <w:r>
              <w:rPr>
                <w:rFonts w:ascii="Calibri" w:cs="Calibri" w:eastAsia="Calibri" w:hAnsi="Calibri"/>
                <w:sz w:val="18"/>
                <w:szCs w:val="18"/>
              </w:rPr>
              <w:t xml:space="preserve">.</w:t>
            </w:r>
          </w:p>
        </w:tc>
      </w:tr>
      <w:tr>
        <w:tc>
          <w:tcPr>
            <w:tcW w:type="dxa" w:w="23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Horizon</w:t>
            </w:r>
          </w:p>
        </w:tc>
        <w:tc>
          <w:tcPr>
            <w:tcW w:type="dxa" w:w="75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30 ans (2026-2056), piloté par périodes successives. Première période : 2026-2029.</w:t>
            </w:r>
          </w:p>
        </w:tc>
      </w:tr>
      <w:tr>
        <w:tc>
          <w:tcPr>
            <w:tcW w:type="dxa" w:w="23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Voies de mise en œuvre</w:t>
            </w:r>
          </w:p>
        </w:tc>
        <w:tc>
          <w:tcPr>
            <w:tcW w:type="dxa" w:w="75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Appels à projets et cahiers des charges.</w:t>
            </w:r>
          </w:p>
        </w:tc>
      </w:tr>
      <w:tr>
        <w:tc>
          <w:tcPr>
            <w:tcW w:type="dxa" w:w="23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Enveloppe 2026-2029</w:t>
            </w:r>
          </w:p>
        </w:tc>
        <w:tc>
          <w:tcPr>
            <w:tcW w:type="dxa" w:w="75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800 000 €, sous réserve des ressources levées. Révisée par le conseil d’administration.</w:t>
            </w:r>
          </w:p>
        </w:tc>
      </w:tr>
    </w:tbl>
    <w:p>
      <w:pPr>
        <w:keepNext/>
        <w:pBdr>
          <w:bottom w:val="single" w:color="C9D3E6" w:sz="6" w:space="2"/>
        </w:pBdr>
        <w:spacing w:after="90" w:before="200"/>
      </w:pPr>
      <w:r>
        <w:rPr>
          <w:rFonts w:ascii="Calibri" w:cs="Calibri" w:eastAsia="Calibri" w:hAnsi="Calibri"/>
          <w:b/>
          <w:bCs/>
          <w:color w:val="16256B"/>
          <w:sz w:val="26"/>
          <w:szCs w:val="26"/>
        </w:rPr>
        <w:t xml:space="preserve">1.  Pourquoi ce programme</w:t>
      </w:r>
    </w:p>
    <w:p>
      <w:pPr>
        <w:spacing w:after="60" w:before="0" w:line="240"/>
        <w:jc w:val="both"/>
      </w:pPr>
      <w:r>
        <w:rPr>
          <w:rFonts w:ascii="Calibri" w:cs="Calibri" w:eastAsia="Calibri" w:hAnsi="Calibri"/>
          <w:sz w:val="22"/>
          <w:szCs w:val="22"/>
        </w:rPr>
        <w:t xml:space="preserve">Les pêcheurs constatent une baisse de la ressource et des captures. Une partie de cette baisse tient à l’état des habitats qui assurent le renouvellement des espèces pêchées. Sur la frange côtière, les herbiers de posidonie, les forêts de cystoseires et le coralligène reculent ou se fragmentent ; les aménagements du littoral et l’artificialisation des graus ont altéré la fonction nurserie des petits fonds et les échanges entre la mer et les lagunes. Plus au large, sur le plateau du golfe du Lion, les zones fonctionnelles halieutiques subissent des pressions cumulées.</w:t>
      </w:r>
    </w:p>
    <w:p>
      <w:pPr>
        <w:spacing w:after="60" w:before="0" w:line="240"/>
        <w:jc w:val="both"/>
      </w:pPr>
      <w:r>
        <w:rPr>
          <w:rFonts w:ascii="Calibri" w:cs="Calibri" w:eastAsia="Calibri" w:hAnsi="Calibri"/>
          <w:sz w:val="22"/>
          <w:szCs w:val="22"/>
        </w:rPr>
        <w:t xml:space="preserve">Réduire les pressions reste la première condition. Mais pour des écosystèmes dégradés de longue date, elle ne suffit pas toujours à leur rendre leur capacité de régénération. La restauration écologique vient alors en complément : elle assiste le rétablissement d’un écosystème, de certaines de ses fonctions ou de ses habitats. Les opérations conduites en Méditerranée depuis 2006 sont encore largement expérimentales, ponctuelles et inégalement suivies. Les stratégies de restauration de la façade portent sur le littoral et les petits fonds côtiers. Le règlement européen relatif à la restauration de la nature, adopté en 2024, couvre pourtant les habitats marins de la côte jusqu’au large, y compris les fonds sédimentaires jusqu’à 1 000 m de profondeur ; sa déclinaison nationale est en cours. Au large, le développement de l’éolien en mer ouvre de nouvelles possibilités.</w:t>
      </w:r>
    </w:p>
    <w:p>
      <w:pPr>
        <w:spacing w:after="60" w:before="0" w:line="240"/>
        <w:jc w:val="both"/>
      </w:pPr>
      <w:r>
        <w:rPr>
          <w:rFonts w:ascii="Calibri" w:cs="Calibri" w:eastAsia="Calibri" w:hAnsi="Calibri"/>
          <w:sz w:val="22"/>
          <w:szCs w:val="22"/>
        </w:rPr>
        <w:t xml:space="preserve">Les pêcheurs connaissent les fonds, disposent des moyens nautiques et ont un intérêt direct au rétablissement de la ressource. Le programme part de ce constat : faire de la filière un acteur de la restauration, et non seulement un usager du milieu.</w:t>
      </w:r>
    </w:p>
    <w:p>
      <w:pPr>
        <w:spacing w:after="60" w:before="0" w:line="240"/>
        <w:jc w:val="both"/>
      </w:pPr>
      <w:r>
        <w:rPr>
          <w:rFonts w:ascii="Calibri" w:cs="Calibri" w:eastAsia="Calibri" w:hAnsi="Calibri"/>
          <w:b w:val="false"/>
          <w:bCs w:val="false"/>
          <w:sz w:val="22"/>
          <w:szCs w:val="22"/>
        </w:rPr>
        <w:t xml:space="preserve">Chaque projet suit une même logique : </w:t>
      </w:r>
      <w:r>
        <w:rPr>
          <w:rFonts w:ascii="Calibri" w:cs="Calibri" w:eastAsia="Calibri" w:hAnsi="Calibri"/>
          <w:b/>
          <w:bCs/>
          <w:sz w:val="22"/>
          <w:szCs w:val="22"/>
        </w:rPr>
        <w:t xml:space="preserve">objectif du DSF → descripteur du bon état écologique → habitat ou fonction à rétablir → projet.</w:t>
      </w:r>
    </w:p>
    <w:p>
      <w:pPr>
        <w:keepNext/>
        <w:pBdr>
          <w:bottom w:val="single" w:color="C9D3E6" w:sz="6" w:space="2"/>
        </w:pBdr>
        <w:spacing w:after="90" w:before="200"/>
      </w:pPr>
      <w:r>
        <w:rPr>
          <w:rFonts w:ascii="Calibri" w:cs="Calibri" w:eastAsia="Calibri" w:hAnsi="Calibri"/>
          <w:b/>
          <w:bCs/>
          <w:color w:val="16256B"/>
          <w:sz w:val="26"/>
          <w:szCs w:val="26"/>
        </w:rPr>
        <w:t xml:space="preserve">2.  Ce que le programme veut obtenir</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4"/>
      </w:tblGrid>
      <w:tr>
        <w:tc>
          <w:tcPr>
            <w:tcW w:type="dxa" w:w="9864"/>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pPr>
            <w:r>
              <w:rPr>
                <w:rFonts w:ascii="Calibri" w:cs="Calibri" w:eastAsia="Calibri" w:hAnsi="Calibri"/>
                <w:b/>
                <w:bCs/>
                <w:color w:val="16256B"/>
                <w:sz w:val="18"/>
                <w:szCs w:val="18"/>
              </w:rPr>
              <w:t xml:space="preserve">Finalité à 30 ans</w:t>
            </w:r>
          </w:p>
          <w:p>
            <w:pPr>
              <w:spacing w:after="20"/>
              <w:jc w:val="both"/>
            </w:pPr>
            <w:r>
              <w:rPr>
                <w:rFonts w:ascii="Calibri" w:cs="Calibri" w:eastAsia="Calibri" w:hAnsi="Calibri"/>
                <w:i/>
                <w:iCs/>
                <w:sz w:val="20"/>
                <w:szCs w:val="20"/>
              </w:rPr>
              <w:t xml:space="preserve">À l’horizon 2056, les habitats et les fonctions écologiques qui soutiennent la ressource halieutique — nurseries, frayères, refuges — sont rétablis sur les secteurs prioritaires de la façade, sur la côte comme au large. Les pêcheurs y interviennent comme opérateurs de la restauration, de la gestion et de la surveillance, et les solutions éprouvées sont déployées à l’échelle de la façade.</w:t>
            </w:r>
          </w:p>
        </w:tc>
      </w:tr>
    </w:tbl>
    <w:p>
      <w:pPr>
        <w:spacing w:after="60" w:before="0" w:line="240"/>
        <w:jc w:val="both"/>
      </w:pPr>
      <w:r>
        <w:rPr>
          <w:rFonts w:ascii="Calibri" w:cs="Calibri" w:eastAsia="Calibri" w:hAnsi="Calibri"/>
          <w:sz w:val="22"/>
          <w:szCs w:val="22"/>
        </w:rPr>
        <w:t xml:space="preserve"/>
      </w:r>
    </w:p>
    <w:p>
      <w:pPr>
        <w:spacing w:after="60" w:before="0" w:line="240"/>
        <w:jc w:val="both"/>
      </w:pPr>
      <w:r>
        <w:rPr>
          <w:rFonts w:ascii="Calibri" w:cs="Calibri" w:eastAsia="Calibri" w:hAnsi="Calibri"/>
          <w:b/>
          <w:bCs/>
          <w:color w:val="16256B"/>
          <w:sz w:val="22"/>
          <w:szCs w:val="22"/>
        </w:rPr>
        <w:t xml:space="preserve">Objectif général : </w:t>
      </w:r>
      <w:r>
        <w:rPr>
          <w:rFonts w:ascii="Calibri" w:cs="Calibri" w:eastAsia="Calibri" w:hAnsi="Calibri"/>
          <w:sz w:val="22"/>
          <w:szCs w:val="22"/>
        </w:rPr>
        <w:t xml:space="preserve">expérimenter et déployer des solutions de restauration écologique favorisant la régénération des écosystèmes et le renouvellement des ressources halieutiques. Il se décline en trois objectifs opérationnels, qui encadrent tous les appels à projets et cahiers des charges du programme.</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700"/>
        <w:gridCol w:w="4064"/>
        <w:gridCol w:w="2400"/>
      </w:tblGrid>
      <w:tr>
        <w:trPr>
          <w:tblHeader/>
        </w:trPr>
        <w:tc>
          <w:tcPr>
            <w:tcW w:type="dxa" w:w="700"/>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N°</w:t>
            </w:r>
          </w:p>
        </w:tc>
        <w:tc>
          <w:tcPr>
            <w:tcW w:type="dxa" w:w="2700"/>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Objectif opérationnel</w:t>
            </w:r>
          </w:p>
        </w:tc>
        <w:tc>
          <w:tcPr>
            <w:tcW w:type="dxa" w:w="4064"/>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Ce que le programme cherche à obtenir</w:t>
            </w:r>
          </w:p>
        </w:tc>
        <w:tc>
          <w:tcPr>
            <w:tcW w:type="dxa" w:w="2400"/>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Rattachement DSF / DCSMM</w:t>
            </w:r>
          </w:p>
        </w:tc>
      </w:tr>
      <w:tr>
        <w:trPr>
          <w:cantSplit/>
        </w:trPr>
        <w:tc>
          <w:tcPr>
            <w:tcW w:type="dxa" w:w="7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OO1</w:t>
            </w:r>
          </w:p>
        </w:tc>
        <w:tc>
          <w:tcPr>
            <w:tcW w:type="dxa" w:w="27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Restaurer les habitats et les fonctions écologiques des fonds côtiers et lagunaires.</w:t>
            </w:r>
          </w:p>
        </w:tc>
        <w:tc>
          <w:tcPr>
            <w:tcW w:type="dxa" w:w="40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Rétablir les habitats prioritaires et la fonction nurserie des petits fonds, des lagunes et de leurs échanges avec la mer, là où les pressions sont maîtrisées.</w:t>
            </w:r>
          </w:p>
        </w:tc>
        <w:tc>
          <w:tcPr>
            <w:tcW w:type="dxa" w:w="24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pPr>
            <w:hyperlink w:history="1" r:id="rId7x_uzdseydbchejevzklw">
              <w:r>
                <w:rPr>
                  <w:rFonts w:ascii="Calibri" w:cs="Calibri" w:eastAsia="Calibri" w:hAnsi="Calibri"/>
                  <w:color w:val="0563C1"/>
                  <w:sz w:val="18"/>
                  <w:szCs w:val="18"/>
                  <w:u w:val="single"/>
                </w:rPr>
                <w:t xml:space="preserve">Objectifs A et C</w:t>
              </w:r>
            </w:hyperlink>
            <w:r>
              <w:rPr>
                <w:rFonts w:ascii="Calibri" w:cs="Calibri" w:eastAsia="Calibri" w:hAnsi="Calibri"/>
                <w:sz w:val="18"/>
                <w:szCs w:val="18"/>
              </w:rPr>
              <w:t xml:space="preserve"> · descripteurs D1, D3, D6 · état écologique à l’</w:t>
            </w:r>
            <w:hyperlink w:history="1" r:id="rId_hmwn_53tv9x0qinqgx6d">
              <w:r>
                <w:rPr>
                  <w:rFonts w:ascii="Calibri" w:cs="Calibri" w:eastAsia="Calibri" w:hAnsi="Calibri"/>
                  <w:color w:val="0563C1"/>
                  <w:sz w:val="18"/>
                  <w:szCs w:val="18"/>
                  <w:u w:val="single"/>
                </w:rPr>
                <w:t xml:space="preserve">annexe 2 du DSF</w:t>
              </w:r>
            </w:hyperlink>
            <w:r>
              <w:rPr>
                <w:rFonts w:ascii="Calibri" w:cs="Calibri" w:eastAsia="Calibri" w:hAnsi="Calibri"/>
                <w:sz w:val="18"/>
                <w:szCs w:val="18"/>
              </w:rPr>
              <w:t xml:space="preserve"> · </w:t>
            </w:r>
            <w:hyperlink w:history="1" r:id="rId-10o585laquygghy2a8t3">
              <w:r>
                <w:rPr>
                  <w:rFonts w:ascii="Calibri" w:cs="Calibri" w:eastAsia="Calibri" w:hAnsi="Calibri"/>
                  <w:color w:val="0563C1"/>
                  <w:sz w:val="18"/>
                  <w:szCs w:val="18"/>
                  <w:u w:val="single"/>
                </w:rPr>
                <w:t xml:space="preserve">stratégie DIRM 2019</w:t>
              </w:r>
            </w:hyperlink>
            <w:r>
              <w:rPr>
                <w:rFonts w:ascii="Calibri" w:cs="Calibri" w:eastAsia="Calibri" w:hAnsi="Calibri"/>
                <w:sz w:val="18"/>
                <w:szCs w:val="18"/>
              </w:rPr>
              <w:t xml:space="preserve">.</w:t>
            </w:r>
          </w:p>
        </w:tc>
      </w:tr>
      <w:tr>
        <w:trPr>
          <w:cantSplit/>
        </w:trPr>
        <w:tc>
          <w:tcPr>
            <w:tcW w:type="dxa" w:w="7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OO2</w:t>
            </w:r>
          </w:p>
        </w:tc>
        <w:tc>
          <w:tcPr>
            <w:tcW w:type="dxa" w:w="27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Réhabiliter les fonctions halieutiques du plateau et du large par l’ingénierie écologique.</w:t>
            </w:r>
          </w:p>
        </w:tc>
        <w:tc>
          <w:tcPr>
            <w:tcW w:type="dxa" w:w="40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Recréer des habitats et des zones fonctionnelles — refuges, nourriceries — notamment en lien avec les infrastructures en mer, et démontrer leur effet sur la ressource.</w:t>
            </w:r>
          </w:p>
        </w:tc>
        <w:tc>
          <w:tcPr>
            <w:tcW w:type="dxa" w:w="24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pPr>
            <w:hyperlink w:history="1" r:id="rIdxtrhuxycwdiq8udmht1b5">
              <w:r>
                <w:rPr>
                  <w:rFonts w:ascii="Calibri" w:cs="Calibri" w:eastAsia="Calibri" w:hAnsi="Calibri"/>
                  <w:color w:val="0563C1"/>
                  <w:sz w:val="18"/>
                  <w:szCs w:val="18"/>
                  <w:u w:val="single"/>
                </w:rPr>
                <w:t xml:space="preserve">Objectif C (C5)</w:t>
              </w:r>
            </w:hyperlink>
            <w:r>
              <w:rPr>
                <w:rFonts w:ascii="Calibri" w:cs="Calibri" w:eastAsia="Calibri" w:hAnsi="Calibri"/>
                <w:sz w:val="18"/>
                <w:szCs w:val="18"/>
              </w:rPr>
              <w:t xml:space="preserve"> · socio-économiques O, K, M · descripteurs D1, D3, D4, D6 · </w:t>
            </w:r>
            <w:hyperlink w:history="1" r:id="rIdqfs4df9_dq94rlgkr-v8h">
              <w:r>
                <w:rPr>
                  <w:rFonts w:ascii="Calibri" w:cs="Calibri" w:eastAsia="Calibri" w:hAnsi="Calibri"/>
                  <w:color w:val="0563C1"/>
                  <w:sz w:val="18"/>
                  <w:szCs w:val="18"/>
                  <w:u w:val="single"/>
                </w:rPr>
                <w:t xml:space="preserve">récifs artificiels 2012</w:t>
              </w:r>
            </w:hyperlink>
            <w:r>
              <w:rPr>
                <w:rFonts w:ascii="Calibri" w:cs="Calibri" w:eastAsia="Calibri" w:hAnsi="Calibri"/>
                <w:sz w:val="18"/>
                <w:szCs w:val="18"/>
              </w:rPr>
              <w:t xml:space="preserve"> · </w:t>
            </w:r>
            <w:hyperlink w:history="1" r:id="rIdh86jni-d9ssgdxugo-kka">
              <w:r>
                <w:rPr>
                  <w:rFonts w:ascii="Calibri" w:cs="Calibri" w:eastAsia="Calibri" w:hAnsi="Calibri"/>
                  <w:color w:val="0563C1"/>
                  <w:sz w:val="18"/>
                  <w:szCs w:val="18"/>
                  <w:u w:val="single"/>
                </w:rPr>
                <w:t xml:space="preserve">règlement (UE) 2024/1991</w:t>
              </w:r>
            </w:hyperlink>
            <w:r>
              <w:rPr>
                <w:rFonts w:ascii="Calibri" w:cs="Calibri" w:eastAsia="Calibri" w:hAnsi="Calibri"/>
                <w:sz w:val="18"/>
                <w:szCs w:val="18"/>
              </w:rPr>
              <w:t xml:space="preserve">.</w:t>
            </w:r>
          </w:p>
        </w:tc>
      </w:tr>
      <w:tr>
        <w:trPr>
          <w:cantSplit/>
        </w:trPr>
        <w:tc>
          <w:tcPr>
            <w:tcW w:type="dxa" w:w="7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OO3</w:t>
            </w:r>
          </w:p>
        </w:tc>
        <w:tc>
          <w:tcPr>
            <w:tcW w:type="dxa" w:w="27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Associer les pêcheurs à la gestion et à la surveillance des espaces protégés et restaurés.</w:t>
            </w:r>
          </w:p>
        </w:tc>
        <w:tc>
          <w:tcPr>
            <w:tcW w:type="dxa" w:w="40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Réduire les pressions sur les aires marines protégées et les sites restaurés pour permettre leur rétablissement naturel, en confiant aux pêcheurs des missions de gestion et de surveillance.</w:t>
            </w:r>
          </w:p>
        </w:tc>
        <w:tc>
          <w:tcPr>
            <w:tcW w:type="dxa" w:w="24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pPr>
            <w:hyperlink w:history="1" r:id="rIdn_hlxonw9b3n8lbxz-zmr">
              <w:r>
                <w:rPr>
                  <w:rFonts w:ascii="Calibri" w:cs="Calibri" w:eastAsia="Calibri" w:hAnsi="Calibri"/>
                  <w:color w:val="0563C1"/>
                  <w:sz w:val="18"/>
                  <w:szCs w:val="18"/>
                  <w:u w:val="single"/>
                </w:rPr>
                <w:t xml:space="preserve">Objectifs A et A′</w:t>
              </w:r>
            </w:hyperlink>
            <w:r>
              <w:rPr>
                <w:rFonts w:ascii="Calibri" w:cs="Calibri" w:eastAsia="Calibri" w:hAnsi="Calibri"/>
                <w:sz w:val="18"/>
                <w:szCs w:val="18"/>
              </w:rPr>
              <w:t xml:space="preserve"> · socio-économiques M, U · descripteurs D1, D3.</w:t>
            </w:r>
          </w:p>
        </w:tc>
      </w:tr>
    </w:tbl>
    <w:p>
      <w:pPr>
        <w:keepNext/>
        <w:spacing w:after="60" w:before="120"/>
      </w:pPr>
      <w:r>
        <w:rPr>
          <w:rFonts w:ascii="Calibri" w:cs="Calibri" w:eastAsia="Calibri" w:hAnsi="Calibri"/>
          <w:b/>
          <w:bCs/>
          <w:color w:val="16256B"/>
          <w:sz w:val="22"/>
          <w:szCs w:val="22"/>
        </w:rPr>
        <w:t xml:space="preserve">Termes utilisés</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264"/>
        <w:gridCol w:w="2300"/>
      </w:tblGrid>
      <w:tr>
        <w:trPr>
          <w:tblHeader/>
        </w:trPr>
        <w:tc>
          <w:tcPr>
            <w:tcW w:type="dxa" w:w="2300"/>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Terme</w:t>
            </w:r>
          </w:p>
        </w:tc>
        <w:tc>
          <w:tcPr>
            <w:tcW w:type="dxa" w:w="5264"/>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Sens retenu dans le programme</w:t>
            </w:r>
          </w:p>
        </w:tc>
        <w:tc>
          <w:tcPr>
            <w:tcW w:type="dxa" w:w="2300"/>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Source</w:t>
            </w:r>
          </w:p>
        </w:tc>
      </w:tr>
      <w:tr>
        <w:trPr>
          <w:cantSplit/>
        </w:trPr>
        <w:tc>
          <w:tcPr>
            <w:tcW w:type="dxa" w:w="23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Restauration écologique</w:t>
            </w:r>
          </w:p>
        </w:tc>
        <w:tc>
          <w:tcPr>
            <w:tcW w:type="dxa" w:w="52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Assister la régénération d’un écosystème endommagé, dégradé ou détruit, là où les pressions à l’origine de la dégradation sont maîtrisées.</w:t>
            </w:r>
          </w:p>
        </w:tc>
        <w:tc>
          <w:tcPr>
            <w:tcW w:type="dxa" w:w="23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Stratégie DIRM 2019</w:t>
            </w:r>
          </w:p>
        </w:tc>
      </w:tr>
      <w:tr>
        <w:trPr>
          <w:cantSplit/>
        </w:trPr>
        <w:tc>
          <w:tcPr>
            <w:tcW w:type="dxa" w:w="23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Réhabilitation</w:t>
            </w:r>
          </w:p>
        </w:tc>
        <w:tc>
          <w:tcPr>
            <w:tcW w:type="dxa" w:w="52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Rétablir certains attributs seulement de l’écosystème : une fonction, un habitat ou un service.</w:t>
            </w:r>
          </w:p>
        </w:tc>
        <w:tc>
          <w:tcPr>
            <w:tcW w:type="dxa" w:w="23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Stratégie DIRM 2019</w:t>
            </w:r>
          </w:p>
        </w:tc>
      </w:tr>
      <w:tr>
        <w:trPr>
          <w:cantSplit/>
        </w:trPr>
        <w:tc>
          <w:tcPr>
            <w:tcW w:type="dxa" w:w="23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Réaffectation</w:t>
            </w:r>
          </w:p>
        </w:tc>
        <w:tc>
          <w:tcPr>
            <w:tcW w:type="dxa" w:w="52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Choix de gestion sur la destination future d’un espace très dégradé.</w:t>
            </w:r>
          </w:p>
        </w:tc>
        <w:tc>
          <w:tcPr>
            <w:tcW w:type="dxa" w:w="23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Stratégie DIRM 2019</w:t>
            </w:r>
          </w:p>
        </w:tc>
      </w:tr>
      <w:tr>
        <w:trPr>
          <w:cantSplit/>
        </w:trPr>
        <w:tc>
          <w:tcPr>
            <w:tcW w:type="dxa" w:w="23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Ingénierie écologique</w:t>
            </w:r>
          </w:p>
        </w:tc>
        <w:tc>
          <w:tcPr>
            <w:tcW w:type="dxa" w:w="52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Conception et mise en place de dispositifs fondés sur le vivant, dont la création d’habitats, pour rétablir des fonctions écologiques.</w:t>
            </w:r>
          </w:p>
        </w:tc>
        <w:tc>
          <w:tcPr>
            <w:tcW w:type="dxa" w:w="23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DSF, objectif O</w:t>
            </w:r>
          </w:p>
        </w:tc>
      </w:tr>
    </w:tbl>
    <w:p>
      <w:pPr>
        <w:keepNext/>
        <w:pBdr>
          <w:bottom w:val="single" w:color="C9D3E6" w:sz="6" w:space="2"/>
        </w:pBdr>
        <w:spacing w:after="90" w:before="200"/>
      </w:pPr>
      <w:r>
        <w:rPr>
          <w:rFonts w:ascii="Calibri" w:cs="Calibri" w:eastAsia="Calibri" w:hAnsi="Calibri"/>
          <w:b/>
          <w:bCs/>
          <w:color w:val="16256B"/>
          <w:sz w:val="26"/>
          <w:szCs w:val="26"/>
        </w:rPr>
        <w:t xml:space="preserve">3.  Les formes de soutien du programme</w:t>
      </w:r>
    </w:p>
    <w:p>
      <w:pPr>
        <w:spacing w:after="60" w:before="0" w:line="240"/>
        <w:jc w:val="both"/>
      </w:pPr>
      <w:r>
        <w:rPr>
          <w:rFonts w:ascii="Calibri" w:cs="Calibri" w:eastAsia="Calibri" w:hAnsi="Calibri"/>
          <w:sz w:val="22"/>
          <w:szCs w:val="22"/>
        </w:rPr>
        <w:t xml:space="preserve">Le programme mobilise les moyens d’action prévus aux statuts du fonds. Chaque appel à projets ou cahier des charges précise ceux qu’il ouvre, les thèmes qu’il retient et à quelles conditions.</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500"/>
        <w:gridCol w:w="4864"/>
      </w:tblGrid>
      <w:tr>
        <w:trPr>
          <w:tblHeader/>
        </w:trPr>
        <w:tc>
          <w:tcPr>
            <w:tcW w:type="dxa" w:w="2500"/>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Moyen d’action (statuts)</w:t>
            </w:r>
          </w:p>
        </w:tc>
        <w:tc>
          <w:tcPr>
            <w:tcW w:type="dxa" w:w="2500"/>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Forme du concours</w:t>
            </w:r>
          </w:p>
        </w:tc>
        <w:tc>
          <w:tcPr>
            <w:tcW w:type="dxa" w:w="4864"/>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Familles d’actions</w:t>
            </w:r>
          </w:p>
        </w:tc>
      </w:tr>
      <w:tr>
        <w:trPr>
          <w:cantSplit/>
        </w:trPr>
        <w:tc>
          <w:tcPr>
            <w:tcW w:type="dxa" w:w="25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Recherche scientifique</w:t>
            </w:r>
          </w:p>
        </w:tc>
        <w:tc>
          <w:tcPr>
            <w:tcW w:type="dxa" w:w="25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Subvention, dont contrats de thèse, post-doctorat, ingénieur d’étude</w:t>
            </w:r>
          </w:p>
        </w:tc>
        <w:tc>
          <w:tcPr>
            <w:tcW w:type="dxa" w:w="48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Mise au point et évaluation des techniques de restauration et d’ingénierie écologique : conditions de réussite, efficacité, effets sur la ressource.</w:t>
            </w:r>
          </w:p>
        </w:tc>
      </w:tr>
      <w:tr>
        <w:trPr>
          <w:cantSplit/>
        </w:trPr>
        <w:tc>
          <w:tcPr>
            <w:tcW w:type="dxa" w:w="25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Action territoriale d’intérêt général</w:t>
            </w:r>
          </w:p>
        </w:tc>
        <w:tc>
          <w:tcPr>
            <w:tcW w:type="dxa" w:w="25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Subvention</w:t>
            </w:r>
          </w:p>
        </w:tc>
        <w:tc>
          <w:tcPr>
            <w:tcW w:type="dxa" w:w="48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Opérations de restauration, de réhabilitation ou de réaffectation conduites sur un territoire, avec leur plan de gestion et leur suivi.</w:t>
            </w:r>
          </w:p>
        </w:tc>
      </w:tr>
      <w:tr>
        <w:trPr>
          <w:cantSplit/>
        </w:trPr>
        <w:tc>
          <w:tcPr>
            <w:tcW w:type="dxa" w:w="25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Innovation d’une entreprise</w:t>
            </w:r>
          </w:p>
        </w:tc>
        <w:tc>
          <w:tcPr>
            <w:tcW w:type="dxa" w:w="25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Subvention ou investissement</w:t>
            </w:r>
          </w:p>
        </w:tc>
        <w:tc>
          <w:tcPr>
            <w:tcW w:type="dxa" w:w="48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Conception, essai en conditions réelles et pré-déploiement de dispositifs d’ingénierie écologique : modules, nurseries, éco-conception d’ouvrages.</w:t>
            </w:r>
          </w:p>
        </w:tc>
      </w:tr>
      <w:tr>
        <w:trPr>
          <w:cantSplit/>
        </w:trPr>
        <w:tc>
          <w:tcPr>
            <w:tcW w:type="dxa" w:w="25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Soutien à une start-up</w:t>
            </w:r>
          </w:p>
        </w:tc>
        <w:tc>
          <w:tcPr>
            <w:tcW w:type="dxa" w:w="25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Subvention, investissement, participation minoritaire</w:t>
            </w:r>
          </w:p>
        </w:tc>
        <w:tc>
          <w:tcPr>
            <w:tcW w:type="dxa" w:w="48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Amorçage, pré-série et industrialisation de solutions de restauration et d’ingénierie écologique.</w:t>
            </w:r>
          </w:p>
        </w:tc>
      </w:tr>
      <w:tr>
        <w:trPr>
          <w:cantSplit/>
        </w:trPr>
        <w:tc>
          <w:tcPr>
            <w:tcW w:type="dxa" w:w="25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Missions rémunérées des pêcheurs</w:t>
            </w:r>
          </w:p>
        </w:tc>
        <w:tc>
          <w:tcPr>
            <w:tcW w:type="dxa" w:w="25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Mission rémunérée</w:t>
            </w:r>
          </w:p>
        </w:tc>
        <w:tc>
          <w:tcPr>
            <w:tcW w:type="dxa" w:w="48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Surveillance, entretien et suivi des sites restaurés et des aires marines protégées ; appui en mer aux opérations.</w:t>
            </w:r>
          </w:p>
        </w:tc>
      </w:tr>
      <w:tr>
        <w:trPr>
          <w:cantSplit/>
        </w:trPr>
        <w:tc>
          <w:tcPr>
            <w:tcW w:type="dxa" w:w="25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Mise à disposition de matériel</w:t>
            </w:r>
          </w:p>
        </w:tc>
        <w:tc>
          <w:tcPr>
            <w:tcW w:type="dxa" w:w="25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Prêt gratuit</w:t>
            </w:r>
          </w:p>
        </w:tc>
        <w:tc>
          <w:tcPr>
            <w:tcW w:type="dxa" w:w="48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Équipements d’intervention et de suivi, rattachés à une opération identifiée.</w:t>
            </w:r>
          </w:p>
        </w:tc>
      </w:tr>
      <w:tr>
        <w:trPr>
          <w:cantSplit/>
        </w:trPr>
        <w:tc>
          <w:tcPr>
            <w:tcW w:type="dxa" w:w="2500"/>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left"/>
            </w:pPr>
            <w:r>
              <w:rPr>
                <w:rFonts w:ascii="Calibri" w:cs="Calibri" w:eastAsia="Calibri" w:hAnsi="Calibri"/>
                <w:b/>
                <w:bCs/>
                <w:color w:val="16256B"/>
                <w:sz w:val="18"/>
                <w:szCs w:val="18"/>
              </w:rPr>
              <w:t xml:space="preserve">Sensibilisation et diffusion</w:t>
            </w:r>
          </w:p>
        </w:tc>
        <w:tc>
          <w:tcPr>
            <w:tcW w:type="dxa" w:w="2500"/>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Subvention</w:t>
            </w:r>
          </w:p>
        </w:tc>
        <w:tc>
          <w:tcPr>
            <w:tcW w:type="dxa" w:w="4864"/>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left"/>
            </w:pPr>
            <w:r>
              <w:rPr>
                <w:rFonts w:ascii="Calibri" w:cs="Calibri" w:eastAsia="Calibri" w:hAnsi="Calibri"/>
                <w:sz w:val="18"/>
                <w:szCs w:val="18"/>
              </w:rPr>
              <w:t xml:space="preserve">Sorties en mer, interventions à quai ou en établissement, restitution des résultats des opérations.</w:t>
            </w:r>
          </w:p>
        </w:tc>
      </w:tr>
    </w:tbl>
    <w:p>
      <w:pPr>
        <w:keepNext/>
        <w:spacing w:after="60" w:before="120"/>
      </w:pPr>
      <w:r>
        <w:rPr>
          <w:rFonts w:ascii="Calibri" w:cs="Calibri" w:eastAsia="Calibri" w:hAnsi="Calibri"/>
          <w:b/>
          <w:bCs/>
          <w:color w:val="16256B"/>
          <w:sz w:val="22"/>
          <w:szCs w:val="22"/>
        </w:rPr>
        <w:t xml:space="preserve">Deux voies de mise en œuvre</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32"/>
        <w:gridCol w:w="4932"/>
      </w:tblGrid>
      <w:tr>
        <w:trPr>
          <w:tblHeader/>
        </w:trPr>
        <w:tc>
          <w:tcPr>
            <w:tcW w:type="dxa" w:w="4932"/>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Nous passons par un appel à projets lorsque :</w:t>
            </w:r>
          </w:p>
        </w:tc>
        <w:tc>
          <w:tcPr>
            <w:tcW w:type="dxa" w:w="4932"/>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left"/>
            </w:pPr>
            <w:r>
              <w:rPr>
                <w:rFonts w:ascii="Calibri" w:cs="Calibri" w:eastAsia="Calibri" w:hAnsi="Calibri"/>
                <w:b/>
                <w:bCs/>
                <w:color w:val="FFFFFF"/>
                <w:sz w:val="18"/>
                <w:szCs w:val="18"/>
              </w:rPr>
              <w:t xml:space="preserve">Nous agissons en propre, sur cahier des charges, lorsque :</w:t>
            </w:r>
          </w:p>
        </w:tc>
      </w:tr>
      <w:tr>
        <w:tc>
          <w:tcPr>
            <w:tcW w:type="dxa" w:w="4932"/>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60"/>
              <w:jc w:val="left"/>
            </w:pPr>
            <w:r>
              <w:rPr>
                <w:rFonts w:ascii="Calibri" w:cs="Calibri" w:eastAsia="Calibri" w:hAnsi="Calibri"/>
                <w:sz w:val="18"/>
                <w:szCs w:val="18"/>
              </w:rPr>
              <w:t xml:space="preserve">Dès que le conseil d’administration engage un programme d’action, Mare Durabilis publie un appel à projets. Il ouvre le programme à tous les bénéficiaires éligibles, met les propositions en concurrence et permet de faire émerger plusieurs solutions à un même besoin. Chaque dossier est examiné par les comités consultatifs, puis soumis à la décision du conseil d’administration.</w:t>
            </w:r>
          </w:p>
          <w:p>
            <w:pPr>
              <w:pStyle w:val="ListParagraph"/>
              <w:numPr>
                <w:ilvl w:val="0"/>
                <w:numId w:val="2"/>
              </w:numPr>
              <w:spacing w:after="20"/>
              <w:jc w:val="left"/>
            </w:pPr>
            <w:r>
              <w:rPr>
                <w:rFonts w:ascii="Calibri" w:cs="Calibri" w:eastAsia="Calibri" w:hAnsi="Calibri"/>
                <w:sz w:val="18"/>
                <w:szCs w:val="18"/>
              </w:rPr>
              <w:t xml:space="preserve">Le besoin appelle plusieurs solutions, et l’appel à projets permet de les explorer.</w:t>
            </w:r>
          </w:p>
          <w:p>
            <w:pPr>
              <w:pStyle w:val="ListParagraph"/>
              <w:numPr>
                <w:ilvl w:val="0"/>
                <w:numId w:val="2"/>
              </w:numPr>
              <w:spacing w:after="20"/>
              <w:jc w:val="left"/>
            </w:pPr>
            <w:r>
              <w:rPr>
                <w:rFonts w:ascii="Calibri" w:cs="Calibri" w:eastAsia="Calibri" w:hAnsi="Calibri"/>
                <w:sz w:val="18"/>
                <w:szCs w:val="18"/>
              </w:rPr>
              <w:t xml:space="preserve">Le projet comporte un risque technique, financier ou opérationnel que la fondation n’a pas vocation à porter directement.</w:t>
            </w:r>
          </w:p>
          <w:p>
            <w:pPr>
              <w:pStyle w:val="ListParagraph"/>
              <w:numPr>
                <w:ilvl w:val="0"/>
                <w:numId w:val="2"/>
              </w:numPr>
              <w:spacing w:after="20"/>
              <w:jc w:val="left"/>
            </w:pPr>
            <w:r>
              <w:rPr>
                <w:rFonts w:ascii="Calibri" w:cs="Calibri" w:eastAsia="Calibri" w:hAnsi="Calibri"/>
                <w:sz w:val="18"/>
                <w:szCs w:val="18"/>
              </w:rPr>
              <w:t xml:space="preserve">Le porteur apporte un cofinancement ou un effet de levier supérieur à ce que la fondation obtiendrait seule.</w:t>
            </w:r>
          </w:p>
          <w:p>
            <w:pPr>
              <w:pStyle w:val="ListParagraph"/>
              <w:numPr>
                <w:ilvl w:val="0"/>
                <w:numId w:val="2"/>
              </w:numPr>
              <w:spacing w:after="20"/>
              <w:jc w:val="left"/>
            </w:pPr>
            <w:r>
              <w:rPr>
                <w:rFonts w:ascii="Calibri" w:cs="Calibri" w:eastAsia="Calibri" w:hAnsi="Calibri"/>
                <w:sz w:val="18"/>
                <w:szCs w:val="18"/>
              </w:rPr>
              <w:t xml:space="preserve">L’action relève d’un métier ou d’une compétence réglementée que la fondation n’exerce pas.</w:t>
            </w:r>
          </w:p>
        </w:tc>
        <w:tc>
          <w:tcPr>
            <w:tcW w:type="dxa" w:w="4932"/>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60"/>
              <w:jc w:val="left"/>
            </w:pPr>
            <w:r>
              <w:rPr>
                <w:rFonts w:ascii="Calibri" w:cs="Calibri" w:eastAsia="Calibri" w:hAnsi="Calibri"/>
                <w:sz w:val="18"/>
                <w:szCs w:val="18"/>
              </w:rPr>
              <w:t xml:space="preserve">En parallèle de l’appel à projets, Mare Durabilis peut décider de mener elle-même un projet. Elle rédige alors un cahier des charges et sélectionne le partenaire qui co-mènera le projet avec elle. Nous faisons ce choix notamment lorsque :</w:t>
            </w:r>
          </w:p>
          <w:p>
            <w:pPr>
              <w:pStyle w:val="ListParagraph"/>
              <w:numPr>
                <w:ilvl w:val="0"/>
                <w:numId w:val="2"/>
              </w:numPr>
              <w:spacing w:after="20"/>
              <w:jc w:val="left"/>
            </w:pPr>
            <w:r>
              <w:rPr>
                <w:rFonts w:ascii="Calibri" w:cs="Calibri" w:eastAsia="Calibri" w:hAnsi="Calibri"/>
                <w:sz w:val="18"/>
                <w:szCs w:val="18"/>
              </w:rPr>
              <w:t xml:space="preserve">Aucun opérateur ne répond au besoin identifié par Mare Durabilis.</w:t>
            </w:r>
          </w:p>
          <w:p>
            <w:pPr>
              <w:pStyle w:val="ListParagraph"/>
              <w:numPr>
                <w:ilvl w:val="0"/>
                <w:numId w:val="2"/>
              </w:numPr>
              <w:spacing w:after="20"/>
              <w:jc w:val="left"/>
            </w:pPr>
            <w:r>
              <w:rPr>
                <w:rFonts w:ascii="Calibri" w:cs="Calibri" w:eastAsia="Calibri" w:hAnsi="Calibri"/>
                <w:sz w:val="18"/>
                <w:szCs w:val="18"/>
              </w:rPr>
              <w:t xml:space="preserve">Les données produites doivent rester la propriété de l’écosystème Mare Durabilis, et aucun opérateur n’accepte de s’y engager.</w:t>
            </w:r>
          </w:p>
          <w:p>
            <w:pPr>
              <w:pStyle w:val="ListParagraph"/>
              <w:numPr>
                <w:ilvl w:val="0"/>
                <w:numId w:val="2"/>
              </w:numPr>
              <w:spacing w:after="20"/>
              <w:jc w:val="left"/>
            </w:pPr>
            <w:r>
              <w:rPr>
                <w:rFonts w:ascii="Calibri" w:cs="Calibri" w:eastAsia="Calibri" w:hAnsi="Calibri"/>
                <w:sz w:val="18"/>
                <w:szCs w:val="18"/>
              </w:rPr>
              <w:t xml:space="preserve">Un candidat est déjà identifié, capable de répondre au besoin, et le conseil d’administration le juge le mieux placé pour réaliser le projet.</w:t>
            </w:r>
          </w:p>
          <w:p>
            <w:pPr>
              <w:pStyle w:val="ListParagraph"/>
              <w:numPr>
                <w:ilvl w:val="0"/>
                <w:numId w:val="2"/>
              </w:numPr>
              <w:spacing w:after="20"/>
              <w:jc w:val="left"/>
            </w:pPr>
            <w:r>
              <w:rPr>
                <w:rFonts w:ascii="Calibri" w:cs="Calibri" w:eastAsia="Calibri" w:hAnsi="Calibri"/>
                <w:sz w:val="18"/>
                <w:szCs w:val="18"/>
              </w:rPr>
              <w:t xml:space="preserve">Les pêcheurs sont les principaux exécutants de l’action, dans le cadre de missions rémunérées organisées par la fondation.</w:t>
            </w:r>
          </w:p>
          <w:p>
            <w:pPr>
              <w:pStyle w:val="ListParagraph"/>
              <w:numPr>
                <w:ilvl w:val="0"/>
                <w:numId w:val="2"/>
              </w:numPr>
              <w:spacing w:after="20"/>
              <w:jc w:val="left"/>
            </w:pPr>
            <w:r>
              <w:rPr>
                <w:rFonts w:ascii="Calibri" w:cs="Calibri" w:eastAsia="Calibri" w:hAnsi="Calibri"/>
                <w:sz w:val="18"/>
                <w:szCs w:val="18"/>
              </w:rPr>
              <w:t xml:space="preserve">L’urgence d’une situation impose une réponse incompatible avec les délais d’un appel à projets.</w:t>
            </w:r>
          </w:p>
        </w:tc>
      </w:tr>
    </w:tbl>
    <w:p>
      <w:pPr>
        <w:keepNext/>
        <w:spacing w:after="60" w:before="120"/>
      </w:pPr>
      <w:r>
        <w:rPr>
          <w:rFonts w:ascii="Calibri" w:cs="Calibri" w:eastAsia="Calibri" w:hAnsi="Calibri"/>
          <w:b/>
          <w:bCs/>
          <w:color w:val="16256B"/>
          <w:sz w:val="22"/>
          <w:szCs w:val="22"/>
        </w:rPr>
        <w:t xml:space="preserve">Principes communs à tout appel à projets et cahier des charges</w:t>
      </w:r>
    </w:p>
    <w:p>
      <w:pPr>
        <w:pStyle w:val="ListParagraph"/>
        <w:numPr>
          <w:ilvl w:val="0"/>
          <w:numId w:val="3"/>
        </w:numPr>
        <w:spacing w:after="40" w:line="245"/>
        <w:jc w:val="left"/>
      </w:pPr>
      <w:r>
        <w:rPr>
          <w:rFonts w:ascii="Calibri" w:cs="Calibri" w:eastAsia="Calibri" w:hAnsi="Calibri"/>
          <w:b/>
          <w:bCs/>
          <w:sz w:val="22"/>
          <w:szCs w:val="22"/>
        </w:rPr>
        <w:t xml:space="preserve">Rattachement. </w:t>
      </w:r>
      <w:r>
        <w:rPr>
          <w:rFonts w:ascii="Calibri" w:cs="Calibri" w:eastAsia="Calibri" w:hAnsi="Calibri"/>
          <w:sz w:val="22"/>
          <w:szCs w:val="22"/>
        </w:rPr>
        <w:t xml:space="preserve">Chaque projet cite l’objectif du DSF auquel il contribue — A ou C, sauf exception justifiée —, le descripteur concerné et l’habitat ou la fonction qu’il vise.</w:t>
      </w:r>
    </w:p>
    <w:p>
      <w:pPr>
        <w:pStyle w:val="ListParagraph"/>
        <w:numPr>
          <w:ilvl w:val="0"/>
          <w:numId w:val="3"/>
        </w:numPr>
        <w:spacing w:after="40" w:line="245"/>
        <w:jc w:val="left"/>
      </w:pPr>
      <w:r>
        <w:rPr>
          <w:rFonts w:ascii="Calibri" w:cs="Calibri" w:eastAsia="Calibri" w:hAnsi="Calibri"/>
          <w:b/>
          <w:bCs/>
          <w:sz w:val="22"/>
          <w:szCs w:val="22"/>
        </w:rPr>
        <w:t xml:space="preserve">Pressions maîtrisées. </w:t>
      </w:r>
      <w:r>
        <w:rPr>
          <w:rFonts w:ascii="Calibri" w:cs="Calibri" w:eastAsia="Calibri" w:hAnsi="Calibri"/>
          <w:sz w:val="22"/>
          <w:szCs w:val="22"/>
        </w:rPr>
        <w:t xml:space="preserve">Un projet de restauration démontre que les pressions à l’origine de la dégradation sont identifiées et maîtrisées, ou qu’il y apporte une réponse.</w:t>
      </w:r>
    </w:p>
    <w:p>
      <w:pPr>
        <w:pStyle w:val="ListParagraph"/>
        <w:numPr>
          <w:ilvl w:val="0"/>
          <w:numId w:val="3"/>
        </w:numPr>
        <w:spacing w:after="40" w:line="245"/>
        <w:jc w:val="left"/>
      </w:pPr>
      <w:r>
        <w:rPr>
          <w:rFonts w:ascii="Calibri" w:cs="Calibri" w:eastAsia="Calibri" w:hAnsi="Calibri"/>
          <w:b/>
          <w:bCs/>
          <w:sz w:val="22"/>
          <w:szCs w:val="22"/>
        </w:rPr>
        <w:t xml:space="preserve">Habitats prioritaires. </w:t>
      </w:r>
      <w:r>
        <w:rPr>
          <w:rFonts w:ascii="Calibri" w:cs="Calibri" w:eastAsia="Calibri" w:hAnsi="Calibri"/>
          <w:sz w:val="22"/>
          <w:szCs w:val="22"/>
        </w:rPr>
        <w:t xml:space="preserve">Aucune implantation d’ouvrage ou de dispositif ne porte atteinte à un habitat prioritaire.</w:t>
      </w:r>
    </w:p>
    <w:p>
      <w:pPr>
        <w:pStyle w:val="ListParagraph"/>
        <w:numPr>
          <w:ilvl w:val="0"/>
          <w:numId w:val="3"/>
        </w:numPr>
        <w:spacing w:after="40" w:line="245"/>
        <w:jc w:val="left"/>
      </w:pPr>
      <w:r>
        <w:rPr>
          <w:rFonts w:ascii="Calibri" w:cs="Calibri" w:eastAsia="Calibri" w:hAnsi="Calibri"/>
          <w:b/>
          <w:bCs/>
          <w:sz w:val="22"/>
          <w:szCs w:val="22"/>
        </w:rPr>
        <w:t xml:space="preserve">Gestion et suivi. </w:t>
      </w:r>
      <w:r>
        <w:rPr>
          <w:rFonts w:ascii="Calibri" w:cs="Calibri" w:eastAsia="Calibri" w:hAnsi="Calibri"/>
          <w:sz w:val="22"/>
          <w:szCs w:val="22"/>
        </w:rPr>
        <w:t xml:space="preserve">Toute opération prévoit un état initial, des sites témoins, un suivi de son efficacité, un plan de gestion et, pour les ouvrages, leur réversibilité.</w:t>
      </w:r>
    </w:p>
    <w:p>
      <w:pPr>
        <w:pStyle w:val="ListParagraph"/>
        <w:numPr>
          <w:ilvl w:val="0"/>
          <w:numId w:val="3"/>
        </w:numPr>
        <w:spacing w:after="40" w:line="245"/>
        <w:jc w:val="left"/>
      </w:pPr>
      <w:r>
        <w:rPr>
          <w:rFonts w:ascii="Calibri" w:cs="Calibri" w:eastAsia="Calibri" w:hAnsi="Calibri"/>
          <w:b/>
          <w:bCs/>
          <w:sz w:val="22"/>
          <w:szCs w:val="22"/>
        </w:rPr>
        <w:t xml:space="preserve">Complémentarité. </w:t>
      </w:r>
      <w:r>
        <w:rPr>
          <w:rFonts w:ascii="Calibri" w:cs="Calibri" w:eastAsia="Calibri" w:hAnsi="Calibri"/>
          <w:sz w:val="22"/>
          <w:szCs w:val="22"/>
        </w:rPr>
        <w:t xml:space="preserve">Le programme ne se substitue ni à une obligation réglementaire, ni aux mesures compensatoires dues par un tiers, ni à une réparation due par un tiers.</w:t>
      </w:r>
    </w:p>
    <w:p>
      <w:pPr>
        <w:pStyle w:val="ListParagraph"/>
        <w:numPr>
          <w:ilvl w:val="0"/>
          <w:numId w:val="3"/>
        </w:numPr>
        <w:spacing w:after="40" w:line="245"/>
        <w:jc w:val="left"/>
      </w:pPr>
      <w:r>
        <w:rPr>
          <w:rFonts w:ascii="Calibri" w:cs="Calibri" w:eastAsia="Calibri" w:hAnsi="Calibri"/>
          <w:b/>
          <w:bCs/>
          <w:sz w:val="22"/>
          <w:szCs w:val="22"/>
        </w:rPr>
        <w:t xml:space="preserve">Travaux bornés. </w:t>
      </w:r>
      <w:r>
        <w:rPr>
          <w:rFonts w:ascii="Calibri" w:cs="Calibri" w:eastAsia="Calibri" w:hAnsi="Calibri"/>
          <w:sz w:val="22"/>
          <w:szCs w:val="22"/>
        </w:rPr>
        <w:t xml:space="preserve">Le fonds finance des travaux identifiés et limités dans le temps, non le fonctionnement courant d’une structure.</w:t>
      </w:r>
    </w:p>
    <w:p>
      <w:pPr>
        <w:pStyle w:val="ListParagraph"/>
        <w:numPr>
          <w:ilvl w:val="0"/>
          <w:numId w:val="3"/>
        </w:numPr>
        <w:spacing w:after="40" w:line="245"/>
        <w:jc w:val="left"/>
      </w:pPr>
      <w:r>
        <w:rPr>
          <w:rFonts w:ascii="Calibri" w:cs="Calibri" w:eastAsia="Calibri" w:hAnsi="Calibri"/>
          <w:b/>
          <w:bCs/>
          <w:sz w:val="22"/>
          <w:szCs w:val="22"/>
        </w:rPr>
        <w:t xml:space="preserve">Pêcheurs associés. </w:t>
      </w:r>
      <w:r>
        <w:rPr>
          <w:rFonts w:ascii="Calibri" w:cs="Calibri" w:eastAsia="Calibri" w:hAnsi="Calibri"/>
          <w:sz w:val="22"/>
          <w:szCs w:val="22"/>
        </w:rPr>
        <w:t xml:space="preserve">Les professionnels de la pêche sont associés à la conception des projets autant qu’à leur mise en œuvre.</w:t>
      </w:r>
    </w:p>
    <w:p>
      <w:pPr>
        <w:pStyle w:val="ListParagraph"/>
        <w:numPr>
          <w:ilvl w:val="0"/>
          <w:numId w:val="3"/>
        </w:numPr>
        <w:spacing w:after="40" w:line="245"/>
        <w:jc w:val="left"/>
      </w:pPr>
      <w:r>
        <w:rPr>
          <w:rFonts w:ascii="Calibri" w:cs="Calibri" w:eastAsia="Calibri" w:hAnsi="Calibri"/>
          <w:b/>
          <w:bCs/>
          <w:sz w:val="22"/>
          <w:szCs w:val="22"/>
        </w:rPr>
        <w:t xml:space="preserve">Données partagées. </w:t>
      </w:r>
      <w:r>
        <w:rPr>
          <w:rFonts w:ascii="Calibri" w:cs="Calibri" w:eastAsia="Calibri" w:hAnsi="Calibri"/>
          <w:sz w:val="22"/>
          <w:szCs w:val="22"/>
        </w:rPr>
        <w:t xml:space="preserve">Les données sur le milieu produites par les opérations sont qualifiées et versées au programme 1, selon le cadre applicatif permanent du fonds.</w:t>
      </w:r>
    </w:p>
    <w:p>
      <w:pPr>
        <w:pStyle w:val="ListParagraph"/>
        <w:numPr>
          <w:ilvl w:val="0"/>
          <w:numId w:val="3"/>
        </w:numPr>
        <w:spacing w:after="40" w:line="245"/>
        <w:jc w:val="left"/>
      </w:pPr>
      <w:r>
        <w:rPr>
          <w:rFonts w:ascii="Calibri" w:cs="Calibri" w:eastAsia="Calibri" w:hAnsi="Calibri"/>
          <w:b/>
          <w:bCs/>
          <w:sz w:val="22"/>
          <w:szCs w:val="22"/>
        </w:rPr>
        <w:t xml:space="preserve">Propriété des résultats. </w:t>
      </w:r>
      <w:r>
        <w:rPr>
          <w:rFonts w:ascii="Calibri" w:cs="Calibri" w:eastAsia="Calibri" w:hAnsi="Calibri"/>
          <w:sz w:val="22"/>
          <w:szCs w:val="22"/>
        </w:rPr>
        <w:t xml:space="preserve">La propriété des données, des résultats et des droits de propriété intellectuelle est fixée par chaque convention, selon le cadre applicatif permanent du fonds.</w:t>
      </w:r>
    </w:p>
    <w:p>
      <w:pPr>
        <w:pStyle w:val="ListParagraph"/>
        <w:numPr>
          <w:ilvl w:val="0"/>
          <w:numId w:val="3"/>
        </w:numPr>
        <w:spacing w:after="40" w:line="245"/>
        <w:jc w:val="left"/>
      </w:pPr>
      <w:r>
        <w:rPr>
          <w:rFonts w:ascii="Calibri" w:cs="Calibri" w:eastAsia="Calibri" w:hAnsi="Calibri"/>
          <w:b/>
          <w:bCs/>
          <w:sz w:val="22"/>
          <w:szCs w:val="22"/>
        </w:rPr>
        <w:t xml:space="preserve">Ouverture. </w:t>
      </w:r>
      <w:r>
        <w:rPr>
          <w:rFonts w:ascii="Calibri" w:cs="Calibri" w:eastAsia="Calibri" w:hAnsi="Calibri"/>
          <w:sz w:val="22"/>
          <w:szCs w:val="22"/>
        </w:rPr>
        <w:t xml:space="preserve">À titre exceptionnel, un projet qui ne relève d’aucun objectif du DSF peut être retenu s’il reste compatible avec lui et anticipe la mise en œuvre d’un texte européen que le DSF ne décline pas encore, ou seulement en partie, notamment le règlement relatif à la restauration de la nature. Le conseil d’administration décide, sur avis motivé des comités consultatifs.</w:t>
      </w:r>
    </w:p>
    <w:p>
      <w:pPr>
        <w:pStyle w:val="ListParagraph"/>
        <w:numPr>
          <w:ilvl w:val="0"/>
          <w:numId w:val="3"/>
        </w:numPr>
        <w:spacing w:after="40" w:line="245"/>
        <w:jc w:val="left"/>
      </w:pPr>
      <w:r>
        <w:rPr>
          <w:rFonts w:ascii="Calibri" w:cs="Calibri" w:eastAsia="Calibri" w:hAnsi="Calibri"/>
          <w:b/>
          <w:bCs/>
          <w:sz w:val="22"/>
          <w:szCs w:val="22"/>
        </w:rPr>
        <w:t xml:space="preserve">Périmètre. </w:t>
      </w:r>
      <w:r>
        <w:rPr>
          <w:rFonts w:ascii="Calibri" w:cs="Calibri" w:eastAsia="Calibri" w:hAnsi="Calibri"/>
          <w:sz w:val="22"/>
          <w:szCs w:val="22"/>
        </w:rPr>
        <w:t xml:space="preserve">Façade Méditerranée, au sens du DSF.</w:t>
      </w:r>
    </w:p>
    <w:p>
      <w:pPr>
        <w:pStyle w:val="ListParagraph"/>
        <w:numPr>
          <w:ilvl w:val="0"/>
          <w:numId w:val="3"/>
        </w:numPr>
        <w:spacing w:after="40" w:line="245"/>
        <w:jc w:val="left"/>
      </w:pPr>
      <w:r>
        <w:rPr>
          <w:rFonts w:ascii="Calibri" w:cs="Calibri" w:eastAsia="Calibri" w:hAnsi="Calibri"/>
          <w:b/>
          <w:bCs/>
          <w:sz w:val="22"/>
          <w:szCs w:val="22"/>
        </w:rPr>
        <w:t xml:space="preserve">Effet de levier. </w:t>
      </w:r>
      <w:r>
        <w:rPr>
          <w:rFonts w:ascii="Calibri" w:cs="Calibri" w:eastAsia="Calibri" w:hAnsi="Calibri"/>
          <w:sz w:val="22"/>
          <w:szCs w:val="22"/>
        </w:rPr>
        <w:t xml:space="preserve">Le concours du fonds, ressource privée, complète l’apport des porteurs et les financements publics.</w:t>
      </w:r>
    </w:p>
    <w:p>
      <w:pPr>
        <w:keepNext/>
        <w:pBdr>
          <w:bottom w:val="single" w:color="C9D3E6" w:sz="6" w:space="2"/>
        </w:pBdr>
        <w:spacing w:after="90" w:before="200"/>
      </w:pPr>
      <w:r>
        <w:rPr>
          <w:rFonts w:ascii="Calibri" w:cs="Calibri" w:eastAsia="Calibri" w:hAnsi="Calibri"/>
          <w:b/>
          <w:bCs/>
          <w:color w:val="16256B"/>
          <w:sz w:val="26"/>
          <w:szCs w:val="26"/>
        </w:rPr>
        <w:t xml:space="preserve">4.  Articulation avec les autres programmes</w:t>
      </w:r>
    </w:p>
    <w:p>
      <w:pPr>
        <w:spacing w:after="60" w:before="0" w:line="240"/>
        <w:jc w:val="both"/>
      </w:pPr>
      <w:r>
        <w:rPr>
          <w:rFonts w:ascii="Calibri" w:cs="Calibri" w:eastAsia="Calibri" w:hAnsi="Calibri"/>
          <w:sz w:val="22"/>
          <w:szCs w:val="22"/>
        </w:rPr>
        <w:t xml:space="preserve">Le programme 1 produit la connaissance du milieu : son état, ses évolutions, les pressions qui s’y exercent. Les programmes 2 à 4 agissent : le programme 2 restaure les habitats et les fonctions écologiques, le programme 3 prévient et réduit les pollutions, le programme 4 modernise les navires et les engins.</w:t>
      </w:r>
    </w:p>
    <w:p>
      <w:pPr>
        <w:spacing w:after="60" w:before="0" w:line="240"/>
        <w:jc w:val="both"/>
      </w:pPr>
      <w:r>
        <w:rPr>
          <w:rFonts w:ascii="Calibri" w:cs="Calibri" w:eastAsia="Calibri" w:hAnsi="Calibri"/>
          <w:sz w:val="22"/>
          <w:szCs w:val="22"/>
        </w:rPr>
        <w:t xml:space="preserve">Chaque projet relève d’un seul programme : celui dont il sert la finalité principale. La collecte de données intégrée à un projet du programme 2 (état initial, sites témoins, suivi d’efficacité) est financée par ce programme. Le co-suivi scientifique d’une aire marine protégée relève du programme 1 ; sa gestion et sa surveillance relèvent du programme 2. Le retrait de déchets ou de pollutions relève du programme 3 ; la restauration de l’habitat qui suit relève du programme 2. Les données sur le milieu produites par le programme 2 sont versées au programme 1.</w:t>
      </w:r>
    </w:p>
    <w:p>
      <w:pPr>
        <w:spacing w:after="60" w:before="0" w:line="240"/>
        <w:jc w:val="both"/>
      </w:pPr>
      <w:r>
        <w:rPr>
          <w:rFonts w:ascii="Calibri" w:cs="Calibri" w:eastAsia="Calibri" w:hAnsi="Calibri"/>
          <w:sz w:val="22"/>
          <w:szCs w:val="22"/>
        </w:rPr>
        <w:t xml:space="preserve">En cas de doute, le chef de projet propose un rattachement et le conseil d’administration tranche, après avis des comités consultatifs.</w:t>
      </w:r>
    </w:p>
    <w:p>
      <w:pPr>
        <w:keepNext/>
        <w:pBdr>
          <w:bottom w:val="single" w:color="C9D3E6" w:sz="6" w:space="2"/>
        </w:pBdr>
        <w:spacing w:after="90" w:before="200"/>
      </w:pPr>
      <w:r>
        <w:rPr>
          <w:rFonts w:ascii="Calibri" w:cs="Calibri" w:eastAsia="Calibri" w:hAnsi="Calibri"/>
          <w:b/>
          <w:bCs/>
          <w:color w:val="16256B"/>
          <w:sz w:val="26"/>
          <w:szCs w:val="26"/>
        </w:rPr>
        <w:t xml:space="preserve">5.  Durée, moyens et révision</w:t>
      </w:r>
    </w:p>
    <w:p>
      <w:pPr>
        <w:spacing w:after="60" w:before="0" w:line="240"/>
        <w:jc w:val="both"/>
      </w:pPr>
      <w:r>
        <w:rPr>
          <w:rFonts w:ascii="Calibri" w:cs="Calibri" w:eastAsia="Calibri" w:hAnsi="Calibri"/>
          <w:b/>
          <w:bCs/>
          <w:color w:val="16256B"/>
          <w:sz w:val="22"/>
          <w:szCs w:val="22"/>
        </w:rPr>
        <w:t xml:space="preserve">Horizon. </w:t>
      </w:r>
      <w:r>
        <w:rPr>
          <w:rFonts w:ascii="Calibri" w:cs="Calibri" w:eastAsia="Calibri" w:hAnsi="Calibri"/>
          <w:sz w:val="22"/>
          <w:szCs w:val="22"/>
        </w:rPr>
        <w:t xml:space="preserve">Le programme est conçu sur trente ans : c’est l’échelle de temps sur laquelle un habitat restauré se reconstitue et sur laquelle ses effets sur la ressource deviennent mesurables. Il est piloté par périodes successives. La première couvre 2026-2029, en cohérence avec le budget pluriannuel du fonds ; les suivantes sont calées sur les cycles de six ans du DSF.</w:t>
      </w:r>
    </w:p>
    <w:p>
      <w:pPr>
        <w:keepNext/>
        <w:spacing w:after="60" w:before="120"/>
      </w:pPr>
      <w:r>
        <w:rPr>
          <w:rFonts w:ascii="Calibri" w:cs="Calibri" w:eastAsia="Calibri" w:hAnsi="Calibri"/>
          <w:b/>
          <w:bCs/>
          <w:color w:val="16256B"/>
          <w:sz w:val="22"/>
          <w:szCs w:val="22"/>
        </w:rPr>
        <w:t xml:space="preserve">Enveloppe 2026-2029 (phasage indicatif)</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2"/>
        <w:gridCol w:w="1973"/>
        <w:gridCol w:w="1973"/>
        <w:gridCol w:w="1973"/>
        <w:gridCol w:w="1973"/>
      </w:tblGrid>
      <w:tr>
        <w:trPr>
          <w:tblHeader/>
        </w:trPr>
        <w:tc>
          <w:tcPr>
            <w:tcW w:type="dxa" w:w="1972"/>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center"/>
            </w:pPr>
            <w:r>
              <w:rPr>
                <w:rFonts w:ascii="Calibri" w:cs="Calibri" w:eastAsia="Calibri" w:hAnsi="Calibri"/>
                <w:b/>
                <w:bCs/>
                <w:color w:val="FFFFFF"/>
                <w:sz w:val="18"/>
                <w:szCs w:val="18"/>
              </w:rPr>
              <w:t xml:space="preserve">2026</w:t>
            </w:r>
          </w:p>
        </w:tc>
        <w:tc>
          <w:tcPr>
            <w:tcW w:type="dxa" w:w="1973"/>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center"/>
            </w:pPr>
            <w:r>
              <w:rPr>
                <w:rFonts w:ascii="Calibri" w:cs="Calibri" w:eastAsia="Calibri" w:hAnsi="Calibri"/>
                <w:b/>
                <w:bCs/>
                <w:color w:val="FFFFFF"/>
                <w:sz w:val="18"/>
                <w:szCs w:val="18"/>
              </w:rPr>
              <w:t xml:space="preserve">2027</w:t>
            </w:r>
          </w:p>
        </w:tc>
        <w:tc>
          <w:tcPr>
            <w:tcW w:type="dxa" w:w="1973"/>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center"/>
            </w:pPr>
            <w:r>
              <w:rPr>
                <w:rFonts w:ascii="Calibri" w:cs="Calibri" w:eastAsia="Calibri" w:hAnsi="Calibri"/>
                <w:b/>
                <w:bCs/>
                <w:color w:val="FFFFFF"/>
                <w:sz w:val="18"/>
                <w:szCs w:val="18"/>
              </w:rPr>
              <w:t xml:space="preserve">2028</w:t>
            </w:r>
          </w:p>
        </w:tc>
        <w:tc>
          <w:tcPr>
            <w:tcW w:type="dxa" w:w="1973"/>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center"/>
            </w:pPr>
            <w:r>
              <w:rPr>
                <w:rFonts w:ascii="Calibri" w:cs="Calibri" w:eastAsia="Calibri" w:hAnsi="Calibri"/>
                <w:b/>
                <w:bCs/>
                <w:color w:val="FFFFFF"/>
                <w:sz w:val="18"/>
                <w:szCs w:val="18"/>
              </w:rPr>
              <w:t xml:space="preserve">2029</w:t>
            </w:r>
          </w:p>
        </w:tc>
        <w:tc>
          <w:tcPr>
            <w:tcW w:type="dxa" w:w="1973"/>
            <w:tcBorders>
              <w:top w:val="single" w:color="C9D3E6" w:sz="4"/>
              <w:left w:val="single" w:color="C9D3E6" w:sz="4"/>
              <w:bottom w:val="single" w:color="C9D3E6" w:sz="4"/>
              <w:right w:val="single" w:color="C9D3E6" w:sz="4"/>
            </w:tcBorders>
            <w:shd w:fill="16256B" w:color="auto" w:val="clear"/>
            <w:tcMar>
              <w:top w:type="dxa" w:w="40"/>
              <w:left w:type="dxa" w:w="100"/>
              <w:bottom w:type="dxa" w:w="40"/>
              <w:right w:type="dxa" w:w="100"/>
            </w:tcMar>
            <w:vAlign w:val="top"/>
          </w:tcPr>
          <w:p>
            <w:pPr>
              <w:keepNext/>
              <w:spacing w:after="20"/>
              <w:jc w:val="center"/>
            </w:pPr>
            <w:r>
              <w:rPr>
                <w:rFonts w:ascii="Calibri" w:cs="Calibri" w:eastAsia="Calibri" w:hAnsi="Calibri"/>
                <w:b/>
                <w:bCs/>
                <w:color w:val="FFFFFF"/>
                <w:sz w:val="18"/>
                <w:szCs w:val="18"/>
              </w:rPr>
              <w:t xml:space="preserve">Total 2026-2029</w:t>
            </w:r>
          </w:p>
        </w:tc>
      </w:tr>
      <w:tr>
        <w:tc>
          <w:tcPr>
            <w:tcW w:type="dxa" w:w="1972"/>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center"/>
            </w:pPr>
            <w:r>
              <w:rPr>
                <w:rFonts w:ascii="Calibri" w:cs="Calibri" w:eastAsia="Calibri" w:hAnsi="Calibri"/>
                <w:b w:val="false"/>
                <w:bCs w:val="false"/>
                <w:sz w:val="18"/>
                <w:szCs w:val="18"/>
              </w:rPr>
              <w:t xml:space="preserve">—</w:t>
            </w:r>
          </w:p>
        </w:tc>
        <w:tc>
          <w:tcPr>
            <w:tcW w:type="dxa" w:w="1973"/>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center"/>
            </w:pPr>
            <w:r>
              <w:rPr>
                <w:rFonts w:ascii="Calibri" w:cs="Calibri" w:eastAsia="Calibri" w:hAnsi="Calibri"/>
                <w:b w:val="false"/>
                <w:bCs w:val="false"/>
                <w:sz w:val="18"/>
                <w:szCs w:val="18"/>
              </w:rPr>
              <w:t xml:space="preserve">800 000 €</w:t>
            </w:r>
          </w:p>
        </w:tc>
        <w:tc>
          <w:tcPr>
            <w:tcW w:type="dxa" w:w="1973"/>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center"/>
            </w:pPr>
            <w:r>
              <w:rPr>
                <w:rFonts w:ascii="Calibri" w:cs="Calibri" w:eastAsia="Calibri" w:hAnsi="Calibri"/>
                <w:b w:val="false"/>
                <w:bCs w:val="false"/>
                <w:sz w:val="18"/>
                <w:szCs w:val="18"/>
              </w:rPr>
              <w:t xml:space="preserve">—</w:t>
            </w:r>
          </w:p>
        </w:tc>
        <w:tc>
          <w:tcPr>
            <w:tcW w:type="dxa" w:w="1973"/>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jc w:val="center"/>
            </w:pPr>
            <w:r>
              <w:rPr>
                <w:rFonts w:ascii="Calibri" w:cs="Calibri" w:eastAsia="Calibri" w:hAnsi="Calibri"/>
                <w:b w:val="false"/>
                <w:bCs w:val="false"/>
                <w:sz w:val="18"/>
                <w:szCs w:val="18"/>
              </w:rPr>
              <w:t xml:space="preserve">—</w:t>
            </w:r>
          </w:p>
        </w:tc>
        <w:tc>
          <w:tcPr>
            <w:tcW w:type="dxa" w:w="1973"/>
            <w:tcBorders>
              <w:top w:val="single" w:color="C9D3E6" w:sz="4"/>
              <w:left w:val="single" w:color="C9D3E6" w:sz="4"/>
              <w:bottom w:val="single" w:color="C9D3E6" w:sz="4"/>
              <w:right w:val="single" w:color="C9D3E6" w:sz="4"/>
            </w:tcBorders>
            <w:shd w:fill="EEF2F8" w:color="auto" w:val="clear"/>
            <w:tcMar>
              <w:top w:type="dxa" w:w="40"/>
              <w:left w:type="dxa" w:w="100"/>
              <w:bottom w:type="dxa" w:w="40"/>
              <w:right w:type="dxa" w:w="100"/>
            </w:tcMar>
            <w:vAlign w:val="top"/>
          </w:tcPr>
          <w:p>
            <w:pPr>
              <w:spacing w:after="20"/>
              <w:jc w:val="center"/>
            </w:pPr>
            <w:r>
              <w:rPr>
                <w:rFonts w:ascii="Calibri" w:cs="Calibri" w:eastAsia="Calibri" w:hAnsi="Calibri"/>
                <w:b/>
                <w:bCs/>
                <w:color w:val="16256B"/>
                <w:sz w:val="18"/>
                <w:szCs w:val="18"/>
              </w:rPr>
              <w:t xml:space="preserve">800 000 €</w:t>
            </w:r>
          </w:p>
        </w:tc>
      </w:tr>
    </w:tbl>
    <w:p>
      <w:pPr>
        <w:spacing w:after="60" w:before="80" w:line="240"/>
        <w:jc w:val="both"/>
      </w:pPr>
      <w:r>
        <w:rPr>
          <w:rFonts w:ascii="Calibri" w:cs="Calibri" w:eastAsia="Calibri" w:hAnsi="Calibri"/>
          <w:sz w:val="22"/>
          <w:szCs w:val="22"/>
        </w:rPr>
        <w:t xml:space="preserve">L’enveloppe est financée par le mécénat ; son engagement dépend des ressources effectivement levées.</w:t>
      </w:r>
    </w:p>
    <w:p>
      <w:pPr>
        <w:keepNext/>
        <w:spacing w:after="60" w:before="120"/>
      </w:pPr>
      <w:r>
        <w:rPr>
          <w:rFonts w:ascii="Calibri" w:cs="Calibri" w:eastAsia="Calibri" w:hAnsi="Calibri"/>
          <w:b/>
          <w:bCs/>
          <w:color w:val="16256B"/>
          <w:sz w:val="22"/>
          <w:szCs w:val="22"/>
        </w:rPr>
        <w:t xml:space="preserve">Modalités financières</w:t>
      </w:r>
    </w:p>
    <w:p>
      <w:pPr>
        <w:pStyle w:val="ListParagraph"/>
        <w:numPr>
          <w:ilvl w:val="0"/>
          <w:numId w:val="3"/>
        </w:numPr>
        <w:spacing w:after="40" w:line="245"/>
        <w:jc w:val="left"/>
      </w:pPr>
      <w:r>
        <w:rPr>
          <w:rFonts w:ascii="Calibri" w:cs="Calibri" w:eastAsia="Calibri" w:hAnsi="Calibri"/>
          <w:b/>
          <w:bCs/>
          <w:sz w:val="22"/>
          <w:szCs w:val="22"/>
        </w:rPr>
        <w:t xml:space="preserve">Montant maximal. </w:t>
      </w:r>
      <w:r>
        <w:rPr>
          <w:rFonts w:ascii="Calibri" w:cs="Calibri" w:eastAsia="Calibri" w:hAnsi="Calibri"/>
          <w:sz w:val="22"/>
          <w:szCs w:val="22"/>
        </w:rPr>
        <w:t xml:space="preserve">À l’ouverture de chaque appel à projets ou cahier des charges, le conseil d’administration fixe l’enveloppe qui lui est allouée, prélevée sur celle du programme, et le plafond par projet. Pour les appels à projets, le concours ne dépasse pas 150 000 € par an et par projet.</w:t>
      </w:r>
    </w:p>
    <w:p>
      <w:pPr>
        <w:pStyle w:val="ListParagraph"/>
        <w:numPr>
          <w:ilvl w:val="0"/>
          <w:numId w:val="3"/>
        </w:numPr>
        <w:spacing w:after="40" w:line="245"/>
        <w:jc w:val="left"/>
      </w:pPr>
      <w:r>
        <w:rPr>
          <w:rFonts w:ascii="Calibri" w:cs="Calibri" w:eastAsia="Calibri" w:hAnsi="Calibri"/>
          <w:b/>
          <w:bCs/>
          <w:sz w:val="22"/>
          <w:szCs w:val="22"/>
        </w:rPr>
        <w:t xml:space="preserve">Au cas par cas. </w:t>
      </w:r>
      <w:r>
        <w:rPr>
          <w:rFonts w:ascii="Calibri" w:cs="Calibri" w:eastAsia="Calibri" w:hAnsi="Calibri"/>
          <w:sz w:val="22"/>
          <w:szCs w:val="22"/>
        </w:rPr>
        <w:t xml:space="preserve">Les conditions financières de chaque projet — taux de prise en charge par poste de dépense, part d’autofinancement, articulation avec les autres financeurs — sont arrêtées projet par projet et inscrites à la convention.</w:t>
      </w:r>
    </w:p>
    <w:p>
      <w:pPr>
        <w:pStyle w:val="ListParagraph"/>
        <w:numPr>
          <w:ilvl w:val="0"/>
          <w:numId w:val="3"/>
        </w:numPr>
        <w:spacing w:after="40" w:line="245"/>
        <w:jc w:val="left"/>
      </w:pPr>
      <w:r>
        <w:rPr>
          <w:rFonts w:ascii="Calibri" w:cs="Calibri" w:eastAsia="Calibri" w:hAnsi="Calibri"/>
          <w:b/>
          <w:bCs/>
          <w:sz w:val="22"/>
          <w:szCs w:val="22"/>
        </w:rPr>
        <w:t xml:space="preserve">Versements. </w:t>
      </w:r>
      <w:r>
        <w:rPr>
          <w:rFonts w:ascii="Calibri" w:cs="Calibri" w:eastAsia="Calibri" w:hAnsi="Calibri"/>
          <w:sz w:val="22"/>
          <w:szCs w:val="22"/>
        </w:rPr>
        <w:t xml:space="preserve">Chaque appel à projets ou cahier des charges retient, parmi les modalités suivantes, celles qui s’appliquent : avance au démarrage ; versements intermédiaires sur justification de l’avancement et des dépenses ; solde à la remise du rapport final et des justificatifs ; paiement à service fait pour les missions et prestations ; libération échelonnée des fonds pour les investissements et prises de participation. Le calendrier est fixé par la convention.</w:t>
      </w:r>
    </w:p>
    <w:p>
      <w:pPr>
        <w:pStyle w:val="ListParagraph"/>
        <w:numPr>
          <w:ilvl w:val="0"/>
          <w:numId w:val="3"/>
        </w:numPr>
        <w:spacing w:after="40" w:line="245"/>
        <w:jc w:val="left"/>
      </w:pPr>
      <w:r>
        <w:rPr>
          <w:rFonts w:ascii="Calibri" w:cs="Calibri" w:eastAsia="Calibri" w:hAnsi="Calibri"/>
          <w:b/>
          <w:bCs/>
          <w:sz w:val="22"/>
          <w:szCs w:val="22"/>
        </w:rPr>
        <w:t xml:space="preserve">Non-cumul, contrôle et reversement. </w:t>
      </w:r>
      <w:r>
        <w:rPr>
          <w:rFonts w:ascii="Calibri" w:cs="Calibri" w:eastAsia="Calibri" w:hAnsi="Calibri"/>
          <w:sz w:val="22"/>
          <w:szCs w:val="22"/>
        </w:rPr>
        <w:t xml:space="preserve">Le concours peut compléter des financements publics, sans financer deux fois la même dépense. Le fonds peut contrôler sur pièces et sur place l’utilisation des sommes versées ; les sommes non utilisées ou non justifiées conformément à la convention lui sont reversées.</w:t>
      </w:r>
    </w:p>
    <w:p>
      <w:pPr>
        <w:pStyle w:val="ListParagraph"/>
        <w:numPr>
          <w:ilvl w:val="0"/>
          <w:numId w:val="3"/>
        </w:numPr>
        <w:spacing w:after="40" w:line="245"/>
        <w:jc w:val="left"/>
      </w:pPr>
      <w:r>
        <w:rPr>
          <w:rFonts w:ascii="Calibri" w:cs="Calibri" w:eastAsia="Calibri" w:hAnsi="Calibri"/>
          <w:b/>
          <w:bCs/>
          <w:sz w:val="22"/>
          <w:szCs w:val="22"/>
        </w:rPr>
        <w:t xml:space="preserve">Report. </w:t>
      </w:r>
      <w:r>
        <w:rPr>
          <w:rFonts w:ascii="Calibri" w:cs="Calibri" w:eastAsia="Calibri" w:hAnsi="Calibri"/>
          <w:sz w:val="22"/>
          <w:szCs w:val="22"/>
        </w:rPr>
        <w:t xml:space="preserve">Les montants non engagés sur une année restent affectés au programme et sont reportés sur l’année suivante, sauf décision contraire du conseil d’administration.</w:t>
      </w:r>
    </w:p>
    <w:p>
      <w:pPr>
        <w:keepNext/>
        <w:spacing w:after="60" w:before="120"/>
      </w:pPr>
      <w:r>
        <w:rPr>
          <w:rFonts w:ascii="Calibri" w:cs="Calibri" w:eastAsia="Calibri" w:hAnsi="Calibri"/>
          <w:b/>
          <w:bCs/>
          <w:color w:val="16256B"/>
          <w:sz w:val="22"/>
          <w:szCs w:val="22"/>
        </w:rPr>
        <w:t xml:space="preserve">Révision</w:t>
      </w:r>
    </w:p>
    <w:p>
      <w:pPr>
        <w:pStyle w:val="ListParagraph"/>
        <w:numPr>
          <w:ilvl w:val="0"/>
          <w:numId w:val="3"/>
        </w:numPr>
        <w:spacing w:after="40" w:line="245"/>
        <w:jc w:val="left"/>
      </w:pPr>
      <w:r>
        <w:rPr>
          <w:rFonts w:ascii="Calibri" w:cs="Calibri" w:eastAsia="Calibri" w:hAnsi="Calibri"/>
          <w:sz w:val="22"/>
          <w:szCs w:val="22"/>
        </w:rPr>
        <w:t xml:space="preserve">Le conseil d’administration revoit l’enveloppe chaque année, lors de l’adoption du budget du fonds, au vu des ressources levées et des projets engagés.</w:t>
      </w:r>
    </w:p>
    <w:p>
      <w:pPr>
        <w:pStyle w:val="ListParagraph"/>
        <w:numPr>
          <w:ilvl w:val="0"/>
          <w:numId w:val="3"/>
        </w:numPr>
        <w:spacing w:after="40" w:line="245"/>
        <w:jc w:val="left"/>
      </w:pPr>
      <w:r>
        <w:rPr>
          <w:rFonts w:ascii="Calibri" w:cs="Calibri" w:eastAsia="Calibri" w:hAnsi="Calibri"/>
          <w:sz w:val="22"/>
          <w:szCs w:val="22"/>
        </w:rPr>
        <w:t xml:space="preserve">Un bilan du programme est présenté à chaque réunion où le CA est réuni.</w:t>
      </w:r>
    </w:p>
    <w:p>
      <w:pPr>
        <w:pStyle w:val="ListParagraph"/>
        <w:numPr>
          <w:ilvl w:val="0"/>
          <w:numId w:val="3"/>
        </w:numPr>
        <w:spacing w:after="40" w:line="245"/>
        <w:jc w:val="left"/>
      </w:pPr>
      <w:r>
        <w:rPr>
          <w:rFonts w:ascii="Calibri" w:cs="Calibri" w:eastAsia="Calibri" w:hAnsi="Calibri"/>
          <w:sz w:val="22"/>
          <w:szCs w:val="22"/>
        </w:rPr>
        <w:t xml:space="preserve">La fiche est réexaminée à chaque nouvelle période, et à tout moment sur décision du conseil d’administration.</w:t>
      </w:r>
    </w:p>
    <w:p>
      <w:pPr>
        <w:pStyle w:val="ListParagraph"/>
        <w:numPr>
          <w:ilvl w:val="0"/>
          <w:numId w:val="3"/>
        </w:numPr>
        <w:spacing w:after="40" w:line="245"/>
        <w:jc w:val="left"/>
      </w:pPr>
      <w:r>
        <w:rPr>
          <w:rFonts w:ascii="Calibri" w:cs="Calibri" w:eastAsia="Calibri" w:hAnsi="Calibri"/>
          <w:sz w:val="22"/>
          <w:szCs w:val="22"/>
        </w:rPr>
        <w:t xml:space="preserve">Les modalités de révision et de bilan sont précisées par le règlement intérieur.</w:t>
      </w:r>
    </w:p>
    <w:p>
      <w:pPr>
        <w:spacing w:after="60" w:before="80" w:line="240"/>
        <w:jc w:val="both"/>
      </w:pPr>
      <w:r>
        <w:rPr>
          <w:rFonts w:ascii="Calibri" w:cs="Calibri" w:eastAsia="Calibri" w:hAnsi="Calibri"/>
          <w:b/>
          <w:bCs/>
          <w:color w:val="16256B"/>
          <w:sz w:val="22"/>
          <w:szCs w:val="22"/>
        </w:rPr>
        <w:t xml:space="preserve">Indicateurs de suivi : </w:t>
      </w:r>
      <w:r>
        <w:rPr>
          <w:rFonts w:ascii="Calibri" w:cs="Calibri" w:eastAsia="Calibri" w:hAnsi="Calibri"/>
          <w:sz w:val="22"/>
          <w:szCs w:val="22"/>
        </w:rPr>
        <w:t xml:space="preserve">projets soutenus par objectif opérationnel · surfaces restaurées ou réhabilitées · sites dotés d’un état initial, de sites témoins et d’un suivi · missions confiées aux pêcheurs · solutions passées au déploiement · montants apportés par d’autres financeurs pour 1 € engagé par le fonds.</w:t>
      </w:r>
    </w:p>
    <w:p>
      <w:pPr>
        <w:keepNext/>
        <w:pBdr>
          <w:bottom w:val="single" w:color="C9D3E6" w:sz="6" w:space="2"/>
        </w:pBdr>
        <w:spacing w:after="90" w:before="200"/>
      </w:pPr>
      <w:r>
        <w:rPr>
          <w:rFonts w:ascii="Calibri" w:cs="Calibri" w:eastAsia="Calibri" w:hAnsi="Calibri"/>
          <w:b/>
          <w:bCs/>
          <w:color w:val="16256B"/>
          <w:sz w:val="26"/>
          <w:szCs w:val="26"/>
        </w:rPr>
        <w:t xml:space="preserve">6.  Portée de la fiche et adoption</w:t>
      </w:r>
    </w:p>
    <w:p>
      <w:pPr>
        <w:spacing w:after="60" w:before="0" w:line="240"/>
        <w:jc w:val="both"/>
      </w:pPr>
      <w:r>
        <w:rPr>
          <w:rFonts w:ascii="Calibri" w:cs="Calibri" w:eastAsia="Calibri" w:hAnsi="Calibri"/>
          <w:sz w:val="22"/>
          <w:szCs w:val="22"/>
        </w:rPr>
        <w:t xml:space="preserve">La présente fiche fixe la direction du programme. Tout appel à projets ou cahier des charges en découle : il indique l’objectif opérationnel qu’il sert, respecte les principes communs et s’inscrit dans l’enveloppe. Les conditions d’éligibilité, montants, taux et calendriers relèvent de chaque appel à projets ou cahier des charges, soumis au conseil d’administration. Les projets sont instruits par les comités consultatifs ; le conseil d’administration décide. Un administrateur intéressé à un projet ne prend pas part à la décision, selon la règle de déport fixée par le règlement intérieur.</w:t>
      </w:r>
    </w:p>
    <w:p>
      <w:pPr>
        <w:keepNext/>
        <w:spacing w:after="120" w:before="60" w:line="240"/>
        <w:jc w:val="both"/>
      </w:pPr>
      <w:r>
        <w:rPr>
          <w:rFonts w:ascii="Calibri" w:cs="Calibri" w:eastAsia="Calibri" w:hAnsi="Calibri"/>
          <w:b/>
          <w:bCs/>
          <w:sz w:val="22"/>
          <w:szCs w:val="22"/>
        </w:rPr>
        <w:t xml:space="preserve">Adoptée par le conseil d’administration en séance du ____ / ____ / ________.</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3288"/>
        <w:gridCol w:w="3288"/>
      </w:tblGrid>
      <w:tr>
        <w:trPr>
          <w:cantSplit/>
        </w:trPr>
        <w:tc>
          <w:tcPr>
            <w:tcW w:type="dxa" w:w="3288"/>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pPr>
            <w:r>
              <w:rPr>
                <w:rFonts w:ascii="Calibri" w:cs="Calibri" w:eastAsia="Calibri" w:hAnsi="Calibri"/>
                <w:b/>
                <w:bCs/>
                <w:color w:val="16256B"/>
                <w:sz w:val="18"/>
                <w:szCs w:val="18"/>
              </w:rPr>
              <w:t xml:space="preserve">Le président</w:t>
            </w:r>
          </w:p>
          <w:p>
            <w:pPr>
              <w:spacing w:after="20"/>
            </w:pPr>
            <w:r>
              <w:rPr>
                <w:rFonts w:ascii="Calibri" w:cs="Calibri" w:eastAsia="Calibri" w:hAnsi="Calibri"/>
                <w:sz w:val="18"/>
                <w:szCs w:val="18"/>
              </w:rPr>
              <w:t xml:space="preserve">Jean-Baptiste Gaubert</w:t>
            </w:r>
          </w:p>
          <w:p>
            <w:pPr>
              <w:spacing w:after="20"/>
            </w:pPr>
            <w:r>
              <w:rPr>
                <w:rFonts w:ascii="Calibri" w:cs="Calibri" w:eastAsia="Calibri" w:hAnsi="Calibri"/>
                <w:color w:val="6B7280"/>
                <w:sz w:val="18"/>
                <w:szCs w:val="18"/>
              </w:rPr>
              <w:t xml:space="preserve">CRPMEM Occitanie</w:t>
            </w:r>
          </w:p>
          <w:p>
            <w:pPr>
              <w:spacing w:after="240"/>
            </w:pPr>
            <w:r>
              <w:rPr>
                <w:rFonts w:ascii="Calibri" w:cs="Calibri" w:eastAsia="Calibri" w:hAnsi="Calibri"/>
                <w:sz w:val="18"/>
                <w:szCs w:val="18"/>
              </w:rPr>
              <w:t xml:space="preserve"/>
            </w:r>
          </w:p>
          <w:p>
            <w:pPr>
              <w:spacing w:after="20"/>
            </w:pPr>
            <w:r>
              <w:rPr>
                <w:rFonts w:ascii="Calibri" w:cs="Calibri" w:eastAsia="Calibri" w:hAnsi="Calibri"/>
                <w:i/>
                <w:iCs/>
                <w:color w:val="6B7280"/>
                <w:sz w:val="16"/>
                <w:szCs w:val="16"/>
              </w:rPr>
              <w:t xml:space="preserve">Signature</w:t>
            </w:r>
          </w:p>
        </w:tc>
        <w:tc>
          <w:tcPr>
            <w:tcW w:type="dxa" w:w="3288"/>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pPr>
            <w:r>
              <w:rPr>
                <w:rFonts w:ascii="Calibri" w:cs="Calibri" w:eastAsia="Calibri" w:hAnsi="Calibri"/>
                <w:b/>
                <w:bCs/>
                <w:color w:val="16256B"/>
                <w:sz w:val="18"/>
                <w:szCs w:val="18"/>
              </w:rPr>
              <w:t xml:space="preserve">Le trésorier</w:t>
            </w:r>
          </w:p>
          <w:p>
            <w:pPr>
              <w:spacing w:after="20"/>
            </w:pPr>
            <w:r>
              <w:rPr>
                <w:rFonts w:ascii="Calibri" w:cs="Calibri" w:eastAsia="Calibri" w:hAnsi="Calibri"/>
                <w:sz w:val="18"/>
                <w:szCs w:val="18"/>
              </w:rPr>
              <w:t xml:space="preserve">Bertrand Wendling</w:t>
            </w:r>
          </w:p>
          <w:p>
            <w:pPr>
              <w:spacing w:after="20"/>
            </w:pPr>
            <w:r>
              <w:rPr>
                <w:rFonts w:ascii="Calibri" w:cs="Calibri" w:eastAsia="Calibri" w:hAnsi="Calibri"/>
                <w:color w:val="6B7280"/>
                <w:sz w:val="18"/>
                <w:szCs w:val="18"/>
              </w:rPr>
              <w:t xml:space="preserve">SATHOAN</w:t>
            </w:r>
          </w:p>
          <w:p>
            <w:pPr>
              <w:spacing w:after="240"/>
            </w:pPr>
            <w:r>
              <w:rPr>
                <w:rFonts w:ascii="Calibri" w:cs="Calibri" w:eastAsia="Calibri" w:hAnsi="Calibri"/>
                <w:sz w:val="18"/>
                <w:szCs w:val="18"/>
              </w:rPr>
              <w:t xml:space="preserve"/>
            </w:r>
          </w:p>
          <w:p>
            <w:pPr>
              <w:spacing w:after="20"/>
            </w:pPr>
            <w:r>
              <w:rPr>
                <w:rFonts w:ascii="Calibri" w:cs="Calibri" w:eastAsia="Calibri" w:hAnsi="Calibri"/>
                <w:i/>
                <w:iCs/>
                <w:color w:val="6B7280"/>
                <w:sz w:val="16"/>
                <w:szCs w:val="16"/>
              </w:rPr>
              <w:t xml:space="preserve">Signature</w:t>
            </w:r>
          </w:p>
        </w:tc>
        <w:tc>
          <w:tcPr>
            <w:tcW w:type="dxa" w:w="3288"/>
            <w:tcBorders>
              <w:top w:val="single" w:color="C9D3E6" w:sz="4"/>
              <w:left w:val="single" w:color="C9D3E6" w:sz="4"/>
              <w:bottom w:val="single" w:color="C9D3E6" w:sz="4"/>
              <w:right w:val="single" w:color="C9D3E6" w:sz="4"/>
            </w:tcBorders>
            <w:tcMar>
              <w:top w:type="dxa" w:w="40"/>
              <w:left w:type="dxa" w:w="100"/>
              <w:bottom w:type="dxa" w:w="40"/>
              <w:right w:type="dxa" w:w="100"/>
            </w:tcMar>
            <w:vAlign w:val="top"/>
          </w:tcPr>
          <w:p>
            <w:pPr>
              <w:spacing w:after="20"/>
            </w:pPr>
            <w:r>
              <w:rPr>
                <w:rFonts w:ascii="Calibri" w:cs="Calibri" w:eastAsia="Calibri" w:hAnsi="Calibri"/>
                <w:b/>
                <w:bCs/>
                <w:color w:val="16256B"/>
                <w:sz w:val="18"/>
                <w:szCs w:val="18"/>
              </w:rPr>
              <w:t xml:space="preserve">La secrétaire</w:t>
            </w:r>
          </w:p>
          <w:p>
            <w:pPr>
              <w:spacing w:after="20"/>
            </w:pPr>
            <w:r>
              <w:rPr>
                <w:rFonts w:ascii="Calibri" w:cs="Calibri" w:eastAsia="Calibri" w:hAnsi="Calibri"/>
                <w:sz w:val="18"/>
                <w:szCs w:val="18"/>
              </w:rPr>
              <w:t xml:space="preserve">Maria Ruyssen</w:t>
            </w:r>
          </w:p>
          <w:p>
            <w:pPr>
              <w:spacing w:after="20"/>
            </w:pPr>
            <w:r>
              <w:rPr>
                <w:rFonts w:ascii="Calibri" w:cs="Calibri" w:eastAsia="Calibri" w:hAnsi="Calibri"/>
                <w:color w:val="6B7280"/>
                <w:sz w:val="18"/>
                <w:szCs w:val="18"/>
              </w:rPr>
              <w:t xml:space="preserve">Ifremer</w:t>
            </w:r>
          </w:p>
          <w:p>
            <w:pPr>
              <w:spacing w:after="240"/>
            </w:pPr>
            <w:r>
              <w:rPr>
                <w:rFonts w:ascii="Calibri" w:cs="Calibri" w:eastAsia="Calibri" w:hAnsi="Calibri"/>
                <w:sz w:val="18"/>
                <w:szCs w:val="18"/>
              </w:rPr>
              <w:t xml:space="preserve"/>
            </w:r>
          </w:p>
          <w:p>
            <w:pPr>
              <w:spacing w:after="20"/>
            </w:pPr>
            <w:r>
              <w:rPr>
                <w:rFonts w:ascii="Calibri" w:cs="Calibri" w:eastAsia="Calibri" w:hAnsi="Calibri"/>
                <w:i/>
                <w:iCs/>
                <w:color w:val="6B7280"/>
                <w:sz w:val="16"/>
                <w:szCs w:val="16"/>
              </w:rPr>
              <w:t xml:space="preserve">Signature</w:t>
            </w:r>
          </w:p>
        </w:tc>
      </w:tr>
    </w:tbl>
    <w:sectPr>
      <w:footerReference w:type="default" r:id="rId7"/>
      <w:pgSz w:w="11906" w:h="16838" w:orient="portrait"/>
      <w:pgMar w:top="800" w:right="1021" w:bottom="800"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Mare Durabilis — Fiche programme n° 2 « Restaurer les écosystèmes » — v1.0   ·   </w:t>
    </w:r>
    <w:r>
      <w:rPr>
        <w:rFonts w:ascii="Calibri" w:cs="Calibri" w:eastAsia="Calibri" w:hAnsi="Calibri"/>
        <w:color w:val="6B72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w0piilrd17sqamlolqj2" Type="http://schemas.openxmlformats.org/officeDocument/2006/relationships/hyperlink" Target="https://www.dirm.mediterranee.developpement-durable.gouv.fr/IMG/pdf/dirm_med_-_plaquette_restauration.pdf" TargetMode="External"/><Relationship Id="rIdifkng-exfieh6logvekut" Type="http://schemas.openxmlformats.org/officeDocument/2006/relationships/hyperlink" Target="https://www.dirm.mediterranee.developpement-durable.gouv.fr/IMG/pdf/Rapport_Recifs_V21-1.pdf" TargetMode="External"/><Relationship Id="rIdqqwrk7eanltwkofw27llu" Type="http://schemas.openxmlformats.org/officeDocument/2006/relationships/hyperlink" Target="https://eur-lex.europa.eu/eli/reg/2024/1991/oj" TargetMode="External"/><Relationship Id="rId7x_uzdseydbchejevzklw" Type="http://schemas.openxmlformats.org/officeDocument/2006/relationships/hyperlink" Target="https://www.dirm.mediterranee.developpement-durable.gouv.fr/IMG/pdf/annexe_4_1_objectifs_strategiques.pdf" TargetMode="External"/><Relationship Id="rId_hmwn_53tv9x0qinqgx6d" Type="http://schemas.openxmlformats.org/officeDocument/2006/relationships/hyperlink" Target="https://www.dirm.mediterranee.developpement-durable.gouv.fr/IMG/pdf/annexe_2_situation_de_l_existant_bee_et_cout_de_la_degradation_.pdf" TargetMode="External"/><Relationship Id="rId-10o585laquygghy2a8t3" Type="http://schemas.openxmlformats.org/officeDocument/2006/relationships/hyperlink" Target="https://www.dirm.mediterranee.developpement-durable.gouv.fr/IMG/pdf/dirm_med_-_plaquette_restauration.pdf" TargetMode="External"/><Relationship Id="rIdxtrhuxycwdiq8udmht1b5" Type="http://schemas.openxmlformats.org/officeDocument/2006/relationships/hyperlink" Target="https://www.dirm.mediterranee.developpement-durable.gouv.fr/IMG/pdf/annexe_4_1_objectifs_strategiques.pdf" TargetMode="External"/><Relationship Id="rIdqfs4df9_dq94rlgkr-v8h" Type="http://schemas.openxmlformats.org/officeDocument/2006/relationships/hyperlink" Target="https://www.dirm.mediterranee.developpement-durable.gouv.fr/IMG/pdf/Rapport_Recifs_V21-1.pdf" TargetMode="External"/><Relationship Id="rIdh86jni-d9ssgdxugo-kka" Type="http://schemas.openxmlformats.org/officeDocument/2006/relationships/hyperlink" Target="https://eur-lex.europa.eu/eli/reg/2024/1991/oj" TargetMode="External"/><Relationship Id="rIdn_hlxonw9b3n8lbxz-zmr" Type="http://schemas.openxmlformats.org/officeDocument/2006/relationships/hyperlink" Target="https://www.dirm.mediterranee.developpement-durable.gouv.fr/IMG/pdf/annexe_4_1_objectifs_strategiques.pdf"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2026-09-29T14:48:42.778Z</dcterms:created>
  <dcterms:modified xsi:type="dcterms:W3CDTF">2026-09-29T14:48:42.779Z</dcterms:modified>
</cp:coreProperties>
</file>

<file path=docProps/custom.xml><?xml version="1.0" encoding="utf-8"?>
<Properties xmlns="http://schemas.openxmlformats.org/officeDocument/2006/custom-properties" xmlns:vt="http://schemas.openxmlformats.org/officeDocument/2006/docPropsVTypes"/>
</file>