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0E8A8A"/>
          <w:sz w:val="22"/>
          <w:szCs w:val="22"/>
        </w:rPr>
        <w:t xml:space="preserve">FONDS DE DOTATION MARE DURABILIS</w:t>
      </w:r>
    </w:p>
    <w:p>
      <w:pPr>
        <w:pBdr>
          <w:bottom w:val="single" w:color="16256B" w:sz="12" w:space="12"/>
        </w:pBdr>
        <w:spacing w:after="120"/>
        <w:jc w:val="center"/>
      </w:pPr>
      <w:r>
        <w:rPr>
          <w:rFonts w:ascii="Calibri" w:cs="Calibri" w:eastAsia="Calibri" w:hAnsi="Calibri"/>
          <w:b/>
          <w:bCs/>
          <w:color w:val="16256B"/>
          <w:sz w:val="36"/>
          <w:szCs w:val="36"/>
        </w:rPr>
        <w:t xml:space="preserve">NOTE STRATÉGIQUE — SECTION 3.4</w:t>
      </w:r>
    </w:p>
    <w:p>
      <w:pPr>
        <w:spacing w:after="360" w:before="200"/>
        <w:jc w:val="center"/>
      </w:pPr>
      <w:r>
        <w:rPr>
          <w:rFonts w:ascii="Calibri" w:cs="Calibri" w:eastAsia="Calibri" w:hAnsi="Calibri"/>
          <w:i/>
          <w:iCs/>
          <w:color w:val="6B7280"/>
          <w:sz w:val="24"/>
          <w:szCs w:val="24"/>
        </w:rPr>
        <w:t xml:space="preserve">Proposition de rédaction à copier dans la note — montants du budget au 29/09/2026</w:t>
      </w:r>
    </w:p>
    <w:p>
      <w:pPr>
        <w:pStyle w:val="Heading2"/>
        <w:keepNext/>
        <w:spacing w:after="120" w:before="260"/>
      </w:pPr>
      <w:r>
        <w:rPr>
          <w:rFonts w:ascii="Calibri" w:cs="Calibri" w:eastAsia="Calibri" w:hAnsi="Calibri"/>
          <w:b/>
          <w:bCs/>
          <w:color w:val="0E8A8A"/>
          <w:sz w:val="24"/>
          <w:szCs w:val="24"/>
        </w:rPr>
        <w:t xml:space="preserve">3.4 Association – Fonds de dotation : deux circuits étanches</w:t>
      </w:r>
    </w:p>
    <w:p>
      <w:pPr>
        <w:spacing w:after="120" w:before="0" w:line="276"/>
        <w:jc w:val="both"/>
      </w:pPr>
      <w:r>
        <w:rPr>
          <w:rFonts w:ascii="Calibri" w:cs="Calibri" w:eastAsia="Calibri" w:hAnsi="Calibri"/>
          <w:sz w:val="22"/>
          <w:szCs w:val="22"/>
        </w:rPr>
        <w:t xml:space="preserve">L’écosystème repose sur deux circuits de financement distincts : un circuit public, porté par l’association, et un circuit privé, porté par le fonds de dotation.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Le circuit public — l’association. </w:t>
      </w:r>
      <w:r>
        <w:rPr>
          <w:rFonts w:ascii="Calibri" w:cs="Calibri" w:eastAsia="Calibri" w:hAnsi="Calibri"/>
          <w:sz w:val="22"/>
          <w:szCs w:val="22"/>
        </w:rPr>
        <w:t xml:space="preserve">L’Association Mare Durabilis est la seule entité de l’écosystème à solliciter et recevoir des financements publics. Elle les mobilise à deux titres :</w:t>
      </w:r>
    </w:p>
    <w:p>
      <w:pPr>
        <w:pStyle w:val="ListParagraph"/>
        <w:numPr>
          <w:ilvl w:val="1"/>
          <w:numId w:val="2"/>
        </w:numPr>
        <w:spacing w:after="80" w:line="276"/>
        <w:jc w:val="both"/>
      </w:pPr>
      <w:r>
        <w:rPr>
          <w:rFonts w:ascii="Calibri" w:cs="Calibri" w:eastAsia="Calibri" w:hAnsi="Calibri"/>
          <w:b/>
          <w:bCs/>
          <w:i w:val="false"/>
          <w:iCs w:val="false"/>
          <w:sz w:val="22"/>
          <w:szCs w:val="22"/>
        </w:rPr>
        <w:t xml:space="preserve">l’animation de l’écosystème : </w:t>
      </w:r>
      <w:r>
        <w:rPr>
          <w:rFonts w:ascii="Calibri" w:cs="Calibri" w:eastAsia="Calibri" w:hAnsi="Calibri"/>
          <w:sz w:val="22"/>
          <w:szCs w:val="22"/>
        </w:rPr>
        <w:t xml:space="preserve">le FEAMPA finance 80 % de l’assiette éligible, soit 140 522 € sur 2026-2029. L’assiette comprend le temps du chef de projet consacré à l’écosystème (0,60 ETP), les forfaits obligatoires de 15 % (frais de structure) et de 6,3 % (frais de mission), et les dépenses directes de l’opération ;</w:t>
      </w:r>
    </w:p>
    <w:p>
      <w:pPr>
        <w:pStyle w:val="ListParagraph"/>
        <w:numPr>
          <w:ilvl w:val="1"/>
          <w:numId w:val="2"/>
        </w:numPr>
        <w:spacing w:after="80" w:line="276"/>
        <w:jc w:val="both"/>
      </w:pPr>
      <w:r>
        <w:rPr>
          <w:rFonts w:ascii="Calibri" w:cs="Calibri" w:eastAsia="Calibri" w:hAnsi="Calibri"/>
          <w:b/>
          <w:bCs/>
          <w:i w:val="false"/>
          <w:iCs w:val="false"/>
          <w:sz w:val="22"/>
          <w:szCs w:val="22"/>
        </w:rPr>
        <w:t xml:space="preserve">les projets éligibles aux fonds publics : </w:t>
      </w:r>
      <w:r>
        <w:rPr>
          <w:rFonts w:ascii="Calibri" w:cs="Calibri" w:eastAsia="Calibri" w:hAnsi="Calibri"/>
          <w:sz w:val="22"/>
          <w:szCs w:val="22"/>
        </w:rPr>
        <w:t xml:space="preserve">l’association peut déposer une demande de financement public — FEAMPA, Région Occitanie, État, agences, programmes européens — pour un projet qu’elle mène en propre, seule ou avec des partenaires, lorsque ce projet relève de l’un des quatre programmes du fonds. Le fonds de dotation apporte alors la part privée exigée par le plan de financement du projet.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Le circuit privé — le fonds de dotation. </w:t>
      </w:r>
      <w:r>
        <w:rPr>
          <w:rFonts w:ascii="Calibri" w:cs="Calibri" w:eastAsia="Calibri" w:hAnsi="Calibri"/>
          <w:sz w:val="22"/>
          <w:szCs w:val="22"/>
        </w:rPr>
        <w:t xml:space="preserve">Les dons et le mécénat sont reçus par le fonds et affectés aux quatre programmes d’action, à l’enveloppe de moyens communs, qui porte notamment les structures économiques, et aux frais de fonctionnement du fonds. Aucune ressource publique n’y entre, sauf dérogation exceptionnelle accordée par arrêté des ministres chargés de l’économie et du budget.</w:t>
      </w:r>
    </w:p>
    <w:p>
      <w:pPr>
        <w:pStyle w:val="Heading2"/>
        <w:keepNext/>
        <w:spacing w:after="120" w:before="260"/>
      </w:pPr>
      <w:r>
        <w:rPr>
          <w:rFonts w:ascii="Calibri" w:cs="Calibri" w:eastAsia="Calibri" w:hAnsi="Calibri"/>
          <w:b/>
          <w:bCs/>
          <w:color w:val="0E8A8A"/>
          <w:sz w:val="24"/>
          <w:szCs w:val="24"/>
        </w:rPr>
        <w:t xml:space="preserve">Le principe d’étanchéité</w:t>
      </w:r>
    </w:p>
    <w:p>
      <w:pPr>
        <w:spacing w:after="120" w:before="0" w:line="276"/>
        <w:jc w:val="both"/>
      </w:pPr>
      <w:r>
        <w:rPr>
          <w:rFonts w:ascii="Calibri" w:cs="Calibri" w:eastAsia="Calibri" w:hAnsi="Calibri"/>
          <w:sz w:val="22"/>
          <w:szCs w:val="22"/>
        </w:rPr>
        <w:t xml:space="preserve">Mettre gratuitement à la disposition du fonds du personnel, des locaux ou des moyens payés sur subvention reviendrait à y faire entrer des fonds publics : un chef de projet payé par le FEAMPA ne peut pas travailler gratuitement pour le fonds, pas plus qu’un abonnement ou une assurance financés sur fonds publics ne peuvent lui servir sans contrepartie. Le FEAMPA l’exclut aussi de son côté : le temps et les charges consacrés à une autre entité ne sont pas éligibles.</w:t>
      </w:r>
    </w:p>
    <w:p>
      <w:pPr>
        <w:spacing w:after="120" w:before="0" w:line="276"/>
        <w:jc w:val="both"/>
      </w:pPr>
      <w:r>
        <w:rPr>
          <w:rFonts w:ascii="Calibri" w:cs="Calibri" w:eastAsia="Calibri" w:hAnsi="Calibri"/>
          <w:sz w:val="22"/>
          <w:szCs w:val="22"/>
        </w:rPr>
        <w:t xml:space="preserve">Le sens inverse est permis : le fonds peut soutenir l’association sur ses ressources privées. Tous les flux entre les deux circuits passent donc par une convention et, le cas échéant, une facture.</w:t>
      </w:r>
    </w:p>
    <w:p>
      <w:pPr>
        <w:pStyle w:val="Heading2"/>
        <w:keepNext/>
        <w:spacing w:after="120" w:before="260"/>
      </w:pPr>
      <w:r>
        <w:rPr>
          <w:rFonts w:ascii="Calibri" w:cs="Calibri" w:eastAsia="Calibri" w:hAnsi="Calibri"/>
          <w:b/>
          <w:bCs/>
          <w:color w:val="0E8A8A"/>
          <w:sz w:val="24"/>
          <w:szCs w:val="24"/>
        </w:rPr>
        <w:t xml:space="preserve">Les flux entre les deux circuits</w:t>
      </w:r>
    </w:p>
    <w:p>
      <w:pPr>
        <w:pStyle w:val="ListParagraph"/>
        <w:numPr>
          <w:ilvl w:val="0"/>
          <w:numId w:val="3"/>
        </w:numPr>
        <w:spacing w:after="100" w:line="276"/>
        <w:jc w:val="both"/>
      </w:pPr>
      <w:r>
        <w:rPr>
          <w:rFonts w:ascii="Calibri" w:cs="Calibri" w:eastAsia="Calibri" w:hAnsi="Calibri"/>
          <w:b/>
          <w:bCs/>
          <w:i w:val="false"/>
          <w:iCs w:val="false"/>
          <w:sz w:val="22"/>
          <w:szCs w:val="22"/>
        </w:rPr>
        <w:t xml:space="preserve">Refacturation au fonds. </w:t>
      </w:r>
      <w:r>
        <w:rPr>
          <w:rFonts w:ascii="Calibri" w:cs="Calibri" w:eastAsia="Calibri" w:hAnsi="Calibri"/>
          <w:sz w:val="22"/>
          <w:szCs w:val="22"/>
        </w:rPr>
        <w:t xml:space="preserve">L’association facture au fonds la part de ses moyens qu’il consomme : 0,20 ETP du chef de projet et 20 % des moyens matériels d’usage courant, au coût réel et sans marge, soit 32 043 € sur 2026-2029. Pour le fonds, c’est une charge de fonctionnement (bloc C, tableau 4.4).</w:t>
      </w:r>
    </w:p>
    <w:p>
      <w:pPr>
        <w:pStyle w:val="ListParagraph"/>
        <w:numPr>
          <w:ilvl w:val="0"/>
          <w:numId w:val="3"/>
        </w:numPr>
        <w:spacing w:after="100" w:line="276"/>
        <w:jc w:val="both"/>
      </w:pPr>
      <w:r>
        <w:rPr>
          <w:rFonts w:ascii="Calibri" w:cs="Calibri" w:eastAsia="Calibri" w:hAnsi="Calibri"/>
          <w:b/>
          <w:bCs/>
          <w:i w:val="false"/>
          <w:iCs w:val="false"/>
          <w:sz w:val="22"/>
          <w:szCs w:val="22"/>
        </w:rPr>
        <w:t xml:space="preserve">Refacturation à Mare Services. </w:t>
      </w:r>
      <w:r>
        <w:rPr>
          <w:rFonts w:ascii="Calibri" w:cs="Calibri" w:eastAsia="Calibri" w:hAnsi="Calibri"/>
          <w:sz w:val="22"/>
          <w:szCs w:val="22"/>
        </w:rPr>
        <w:t xml:space="preserve">Même clé, même montant : 32 043 €. C’est une charge d’exploitation de la plateforme (tableau 3.8) ; la part que sa commission ne couvre pas est prise en charge par les moyens communs du fonds (bloc B.1, tableau 4.3).</w:t>
      </w:r>
    </w:p>
    <w:p>
      <w:pPr>
        <w:pStyle w:val="ListParagraph"/>
        <w:numPr>
          <w:ilvl w:val="0"/>
          <w:numId w:val="3"/>
        </w:numPr>
        <w:spacing w:after="100" w:line="276"/>
        <w:jc w:val="both"/>
      </w:pPr>
      <w:r>
        <w:rPr>
          <w:rFonts w:ascii="Calibri" w:cs="Calibri" w:eastAsia="Calibri" w:hAnsi="Calibri"/>
          <w:b/>
          <w:bCs/>
          <w:i w:val="false"/>
          <w:iCs w:val="false"/>
          <w:sz w:val="22"/>
          <w:szCs w:val="22"/>
        </w:rPr>
        <w:t xml:space="preserve">Reste à charge du fonctionnement. </w:t>
      </w:r>
      <w:r>
        <w:rPr>
          <w:rFonts w:ascii="Calibri" w:cs="Calibri" w:eastAsia="Calibri" w:hAnsi="Calibri"/>
          <w:sz w:val="22"/>
          <w:szCs w:val="22"/>
        </w:rPr>
        <w:t xml:space="preserve">Le fonds verse à l’association ce que ni le FEAMPA, ni les refacturations, ni son autofinancement de 1 % (2 649 €) ne couvrent, soit 57 605 € (bloc B.3, tableau 4.3). Ce montant couvre les 20 % de l’assiette que le FEAMPA ne finance pas, les frais réels de structure et de mission au-delà des forfaits, et les intérêts de l’avance de trésorerie.</w:t>
      </w:r>
    </w:p>
    <w:p>
      <w:pPr>
        <w:pStyle w:val="ListParagraph"/>
        <w:numPr>
          <w:ilvl w:val="0"/>
          <w:numId w:val="3"/>
        </w:numPr>
        <w:spacing w:after="100" w:line="276"/>
        <w:jc w:val="both"/>
      </w:pPr>
      <w:r>
        <w:rPr>
          <w:rFonts w:ascii="Calibri" w:cs="Calibri" w:eastAsia="Calibri" w:hAnsi="Calibri"/>
          <w:b/>
          <w:bCs/>
          <w:i w:val="false"/>
          <w:iCs w:val="false"/>
          <w:sz w:val="22"/>
          <w:szCs w:val="22"/>
        </w:rPr>
        <w:t xml:space="preserve">Part privée des projets portés par l’association. </w:t>
      </w:r>
      <w:r>
        <w:rPr>
          <w:rFonts w:ascii="Calibri" w:cs="Calibri" w:eastAsia="Calibri" w:hAnsi="Calibri"/>
          <w:sz w:val="22"/>
          <w:szCs w:val="22"/>
        </w:rPr>
        <w:t xml:space="preserve">Lorsque l’association obtient un financement public pour un projet, le fonds apporte la part privée du plan de financement, sur l’enveloppe du programme concerné (bloc A), par une convention de financement propre au projet. Aucun projet de ce type n’est inscrit au budget 2026-2029 à ce stade.</w:t>
      </w:r>
    </w:p>
    <w:p>
      <w:pPr>
        <w:pStyle w:val="ListParagraph"/>
        <w:numPr>
          <w:ilvl w:val="0"/>
          <w:numId w:val="3"/>
        </w:numPr>
        <w:spacing w:after="100" w:line="276"/>
        <w:jc w:val="both"/>
      </w:pPr>
      <w:r>
        <w:rPr>
          <w:rFonts w:ascii="Calibri" w:cs="Calibri" w:eastAsia="Calibri" w:hAnsi="Calibri"/>
          <w:b/>
          <w:bCs/>
          <w:i w:val="false"/>
          <w:iCs w:val="false"/>
          <w:sz w:val="22"/>
          <w:szCs w:val="22"/>
        </w:rPr>
        <w:t xml:space="preserve">Mise à disposition en nature. </w:t>
      </w:r>
      <w:r>
        <w:rPr>
          <w:rFonts w:ascii="Calibri" w:cs="Calibri" w:eastAsia="Calibri" w:hAnsi="Calibri"/>
          <w:sz w:val="22"/>
          <w:szCs w:val="22"/>
        </w:rPr>
        <w:t xml:space="preserve">Le fonds prend à bail le bureau et acquiert le mobilier de première installation, qu’il met à la disposition de l’association par convention : 32 388 € sur la période (bloc C, tableau 4.4).</w:t>
      </w:r>
    </w:p>
    <w:p>
      <w:pPr>
        <w:spacing w:after="120" w:before="80" w:line="276"/>
        <w:jc w:val="both"/>
      </w:pPr>
      <w:r>
        <w:rPr>
          <w:rFonts w:ascii="Calibri" w:cs="Calibri" w:eastAsia="Calibri" w:hAnsi="Calibri"/>
          <w:sz w:val="22"/>
          <w:szCs w:val="22"/>
        </w:rPr>
        <w:t xml:space="preserve">Au total, sur le budget de fonctionnement de l’association (264 862 €), le financement public couvre 53 %, le fonds 34 % — refacturations et reste à charge —, Mare Services 12 % et l’association elle-même 1 %. Le détail figure en 3.5.</w:t>
      </w:r>
    </w:p>
    <w:p>
      <w:pPr>
        <w:pStyle w:val="Heading2"/>
        <w:keepNext/>
        <w:spacing w:after="120" w:before="260"/>
      </w:pPr>
      <w:r>
        <w:rPr>
          <w:rFonts w:ascii="Calibri" w:cs="Calibri" w:eastAsia="Calibri" w:hAnsi="Calibri"/>
          <w:b/>
          <w:bCs/>
          <w:color w:val="0E8A8A"/>
          <w:sz w:val="24"/>
          <w:szCs w:val="24"/>
        </w:rPr>
        <w:t xml:space="preserve">Règles applicables aux projets portés par l’association</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Rattachement. </w:t>
      </w:r>
      <w:r>
        <w:rPr>
          <w:rFonts w:ascii="Calibri" w:cs="Calibri" w:eastAsia="Calibri" w:hAnsi="Calibri"/>
          <w:sz w:val="22"/>
          <w:szCs w:val="22"/>
        </w:rPr>
        <w:t xml:space="preserve">Le projet relève de l’objet du fonds et de l’un des quatre programmes. Le conseil d’administration du fonds décide de l’apport de la part privée, après avis des comités consultatifs, comme pour tout projet.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Plan de financement distinct. </w:t>
      </w:r>
      <w:r>
        <w:rPr>
          <w:rFonts w:ascii="Calibri" w:cs="Calibri" w:eastAsia="Calibri" w:hAnsi="Calibri"/>
          <w:sz w:val="22"/>
          <w:szCs w:val="22"/>
        </w:rPr>
        <w:t xml:space="preserve">Chaque projet fait l’objet d’un dossier, d’une convention et d’un plan de financement séparés de ceux du fonctionnement, avec une comptabilité analytique propre.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Pas de double financement. </w:t>
      </w:r>
      <w:r>
        <w:rPr>
          <w:rFonts w:ascii="Calibri" w:cs="Calibri" w:eastAsia="Calibri" w:hAnsi="Calibri"/>
          <w:sz w:val="22"/>
          <w:szCs w:val="22"/>
        </w:rPr>
        <w:t xml:space="preserve">Une même dépense n’est financée qu’une fois : l’aide publique couvre sa part, le fonds la part privée, jamais la même dépense.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Temps du chef de projet. </w:t>
      </w:r>
      <w:r>
        <w:rPr>
          <w:rFonts w:ascii="Calibri" w:cs="Calibri" w:eastAsia="Calibri" w:hAnsi="Calibri"/>
          <w:sz w:val="22"/>
          <w:szCs w:val="22"/>
        </w:rPr>
        <w:t xml:space="preserve">Le montage du dossier relève de son temps d’animation (0,60 ETP). S’il participe ensuite à l’exécution du projet, ce temps est imputé au budget du projet et non plus au fonctionnement.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À valider avec Fidal. </w:t>
      </w:r>
      <w:r>
        <w:rPr>
          <w:rFonts w:ascii="Calibri" w:cs="Calibri" w:eastAsia="Calibri" w:hAnsi="Calibri"/>
          <w:sz w:val="22"/>
          <w:szCs w:val="22"/>
        </w:rPr>
        <w:t xml:space="preserve">La qualification de l’apport du fonds (redistribution à un organisme d’intérêt général) et les règles de cofinancement propres à chaque financeur public : taux maximal d’aide et nature des contreparties privées admises.</w:t>
      </w:r>
    </w:p>
    <w:p>
      <w:pPr>
        <w:pStyle w:val="Heading2"/>
        <w:keepNext/>
        <w:spacing w:after="120" w:before="260"/>
      </w:pPr>
      <w:r>
        <w:rPr>
          <w:rFonts w:ascii="Calibri" w:cs="Calibri" w:eastAsia="Calibri" w:hAnsi="Calibri"/>
          <w:b/>
          <w:bCs/>
          <w:color w:val="0E8A8A"/>
          <w:sz w:val="24"/>
          <w:szCs w:val="24"/>
        </w:rPr>
        <w:t xml:space="preserve">Tableau récapitulatif</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1900"/>
        <w:gridCol w:w="1500"/>
        <w:gridCol w:w="1426"/>
        <w:gridCol w:w="1900"/>
      </w:tblGrid>
      <w:tr>
        <w:trPr>
          <w:tblHeader/>
        </w:trPr>
        <w:tc>
          <w:tcPr>
            <w:tcW w:type="dxa" w:w="23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Flux</w:t>
            </w:r>
          </w:p>
        </w:tc>
        <w:tc>
          <w:tcPr>
            <w:tcW w:type="dxa" w:w="19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Sens du paiement</w:t>
            </w:r>
          </w:p>
        </w:tc>
        <w:tc>
          <w:tcPr>
            <w:tcW w:type="dxa" w:w="15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Montant 2026-2029</w:t>
            </w:r>
          </w:p>
        </w:tc>
        <w:tc>
          <w:tcPr>
            <w:tcW w:type="dxa" w:w="142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Enveloppe du fonds</w:t>
            </w:r>
          </w:p>
        </w:tc>
        <w:tc>
          <w:tcPr>
            <w:tcW w:type="dxa" w:w="19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Support</w:t>
            </w:r>
          </w:p>
        </w:tc>
      </w:tr>
      <w:tr>
        <w:trPr>
          <w:cantSplit/>
        </w:trPr>
        <w:tc>
          <w:tcPr>
            <w:tcW w:type="dxa" w:w="2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Refacturation au fonds</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association</w:t>
            </w:r>
          </w:p>
        </w:tc>
        <w:tc>
          <w:tcPr>
            <w:tcW w:type="dxa" w:w="15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32 043 €</w:t>
            </w:r>
          </w:p>
        </w:tc>
        <w:tc>
          <w:tcPr>
            <w:tcW w:type="dxa" w:w="14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 — fonctionnement</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Convention de prestation, feuilles de temps, facture</w:t>
            </w:r>
          </w:p>
        </w:tc>
      </w:tr>
      <w:tr>
        <w:trPr>
          <w:cantSplit/>
        </w:trPr>
        <w:tc>
          <w:tcPr>
            <w:tcW w:type="dxa" w:w="2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Refacturation à Mare Services</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Mare Services → association</w:t>
            </w:r>
          </w:p>
        </w:tc>
        <w:tc>
          <w:tcPr>
            <w:tcW w:type="dxa" w:w="15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32 043 €</w:t>
            </w:r>
          </w:p>
        </w:tc>
        <w:tc>
          <w:tcPr>
            <w:tcW w:type="dxa" w:w="14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B.1 pour la part non couverte par la commission</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Convention de prestation, feuilles de temps, facture</w:t>
            </w:r>
          </w:p>
        </w:tc>
      </w:tr>
      <w:tr>
        <w:trPr>
          <w:cantSplit/>
        </w:trPr>
        <w:tc>
          <w:tcPr>
            <w:tcW w:type="dxa" w:w="2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Reste à charge du fonctionnement</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association</w:t>
            </w:r>
          </w:p>
        </w:tc>
        <w:tc>
          <w:tcPr>
            <w:tcW w:type="dxa" w:w="15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57 605 €</w:t>
            </w:r>
          </w:p>
        </w:tc>
        <w:tc>
          <w:tcPr>
            <w:tcW w:type="dxa" w:w="14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B.3 — moyens communs</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Convention pluriannuelle de financement</w:t>
            </w:r>
          </w:p>
        </w:tc>
      </w:tr>
      <w:tr>
        <w:trPr>
          <w:cantSplit/>
        </w:trPr>
        <w:tc>
          <w:tcPr>
            <w:tcW w:type="dxa" w:w="2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Part privée d’un projet public</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association</w:t>
            </w:r>
          </w:p>
        </w:tc>
        <w:tc>
          <w:tcPr>
            <w:tcW w:type="dxa" w:w="15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Selon le projet — non budgété à ce stade</w:t>
            </w:r>
          </w:p>
        </w:tc>
        <w:tc>
          <w:tcPr>
            <w:tcW w:type="dxa" w:w="14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 — programme concerné</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Convention de financement du projet</w:t>
            </w:r>
          </w:p>
        </w:tc>
      </w:tr>
      <w:tr>
        <w:trPr>
          <w:cantSplit/>
        </w:trPr>
        <w:tc>
          <w:tcPr>
            <w:tcW w:type="dxa" w:w="2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Bureau et mobilier</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association (en nature)</w:t>
            </w:r>
          </w:p>
        </w:tc>
        <w:tc>
          <w:tcPr>
            <w:tcW w:type="dxa" w:w="15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32 388 €</w:t>
            </w:r>
          </w:p>
        </w:tc>
        <w:tc>
          <w:tcPr>
            <w:tcW w:type="dxa" w:w="14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 — fonctionnement</w:t>
            </w:r>
          </w:p>
        </w:tc>
        <w:tc>
          <w:tcPr>
            <w:tcW w:type="dxa" w:w="19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Convention de mise à disposition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Mare Durabilis — Note stratégique — section 3.4, proposition — 29/09/2026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5" w15:restartNumberingAfterBreak="0">
    <w:multiLevelType w:val="hybridMultilevel"/>
    <w:lvl w:ilvl="0" w15:tentative="1">
      <w:start w:val="1"/>
      <w:numFmt w:val="bullet"/>
      <w:lvlText w:val="•"/>
      <w:lvlJc w:val="left"/>
      <w:pPr>
        <w:ind w:left="360" w:hanging="300"/>
      </w:pPr>
      <w:rPr>
        <w:rFonts w:ascii="Calibri" w:cs="Calibri" w:eastAsia="Calibri" w:hAnsi="Calibri"/>
        <w:color w:val="0E8A8A"/>
      </w:rPr>
    </w:lvl>
    <w:lvl w:ilvl="1" w15:tentative="1">
      <w:start w:val="1"/>
      <w:numFmt w:val="bullet"/>
      <w:lvlText w:val="–"/>
      <w:lvlJc w:val="left"/>
      <w:pPr>
        <w:ind w:left="720" w:hanging="300"/>
      </w:pPr>
    </w:lvl>
  </w:abstractNum>
  <w:abstractNum w:abstractNumId="6" w15:restartNumberingAfterBreak="0">
    <w:multiLevelType w:val="hybridMultilevel"/>
    <w:lvl w:ilvl="0" w15:tentative="1">
      <w:start w:val="1"/>
      <w:numFmt w:val="bullet"/>
      <w:lvlText w:val="☐"/>
      <w:lvlJc w:val="left"/>
      <w:pPr>
        <w:ind w:left="360" w:hanging="360"/>
      </w:pPr>
      <w:rPr>
        <w:rFonts w:ascii="Segoe UI Symbol" w:cs="Segoe UI Symbol" w:eastAsia="Segoe UI Symbol" w:hAnsi="Segoe UI Symbol"/>
        <w:color w:val="16256B"/>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stratégique — section 3.4 — deux circuits étanches</dc:title>
  <dc:creator>Clément Chardon</dc:creator>
  <cp:lastModifiedBy>Un-named</cp:lastModifiedBy>
  <cp:revision>1</cp:revision>
  <dcterms:created xsi:type="dcterms:W3CDTF">2026-09-29T09:39:25.918Z</dcterms:created>
  <dcterms:modified xsi:type="dcterms:W3CDTF">2026-09-29T09:39:25.918Z</dcterms:modified>
</cp:coreProperties>
</file>

<file path=docProps/custom.xml><?xml version="1.0" encoding="utf-8"?>
<Properties xmlns="http://schemas.openxmlformats.org/officeDocument/2006/custom-properties" xmlns:vt="http://schemas.openxmlformats.org/officeDocument/2006/docPropsVTypes"/>
</file>