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E8A8A"/>
          <w:sz w:val="18"/>
          <w:szCs w:val="18"/>
        </w:rPr>
        <w:t xml:space="preserve">ÉCOSYSTÈME MARE DURABILIS · FICHE DE PRÉSENTATION</w:t>
      </w:r>
    </w:p>
    <w:p>
      <w:pPr>
        <w:pBdr>
          <w:bottom w:val="single" w:color="16256B" w:sz="12" w:space="6"/>
        </w:pBdr>
        <w:spacing w:after="80"/>
        <w:jc w:val="left"/>
      </w:pPr>
      <w:r>
        <w:rPr>
          <w:rFonts w:ascii="Calibri" w:cs="Calibri" w:eastAsia="Calibri" w:hAnsi="Calibri"/>
          <w:b/>
          <w:bCs/>
          <w:color w:val="16256B"/>
          <w:sz w:val="36"/>
          <w:szCs w:val="36"/>
        </w:rPr>
        <w:t xml:space="preserve">Association Mare Durabilis (A-MD)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Structure d’amorçage de 18 mois. </w:t>
      </w:r>
      <w:r>
        <w:rPr>
          <w:rFonts w:ascii="Calibri" w:cs="Calibri" w:eastAsia="Calibri" w:hAnsi="Calibri"/>
          <w:sz w:val="22"/>
          <w:szCs w:val="22"/>
        </w:rPr>
        <w:t xml:space="preserve">Elle porte le financement public du lancement de l’écosystème et emploie le chef de projet, puis transfère ses charges au fonds de dotation.</w:t>
      </w:r>
    </w:p>
    <w:tbl>
      <w:tblPr>
        <w:tblW w:type="dxa" w:w="95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2000"/>
        <w:gridCol w:w="7506"/>
      </w:tblGrid>
      <w:tr>
        <w:trPr>
          <w:cantSplit/>
        </w:trPr>
        <w:tc>
          <w:tcPr>
            <w:tcW w:type="dxa" w:w="2000"/>
            <w:shd w:fill="EE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>Pourquoi une association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fonds de dotation ne peut pas recevoir de fonds publics. L’A-MD porte donc la demande de financement FEAMPA du lancement, que le fonds ne peut pas porter lui-même.</w:t>
            </w:r>
          </w:p>
        </w:tc>
      </w:tr>
      <w:tr>
        <w:trPr>
          <w:cantSplit/>
        </w:trPr>
        <w:tc>
          <w:tcPr>
            <w:tcW w:type="dxa" w:w="2000"/>
            <w:shd w:fill="EE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>Durée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 mois, calés sur l’opération FEAMPA : juillet 2027 – décembre 2028 (dates à confirmer).</w:t>
            </w:r>
          </w:p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À partir de janvier 2029, toutes les charges passent au fonds de dotation, financées par le mécénat.</w:t>
            </w:r>
          </w:p>
        </w:tc>
      </w:tr>
      <w:tr>
        <w:trPr>
          <w:cantSplit/>
        </w:trPr>
        <w:tc>
          <w:tcPr>
            <w:tcW w:type="dxa" w:w="2000"/>
            <w:shd w:fill="EE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>Missions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Animer l’écosystème et ses instances ; coordonner le calendrier commun.</w:t>
            </w:r>
          </w:p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Assurer la concertation avec les partenaires extérieurs.</w:t>
            </w:r>
          </w:p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Monter les dossiers de financement public, y compris pour des projets éligibles.</w:t>
            </w:r>
          </w:p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Rendre au fonds et à Mare Services les services dont ils ont besoin, refacturés.</w:t>
            </w:r>
          </w:p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Préparer le transfert des charges au fonds à la fin des 18 mois.</w:t>
            </w:r>
          </w:p>
        </w:tc>
      </w:tr>
      <w:tr>
        <w:trPr>
          <w:cantSplit/>
        </w:trPr>
        <w:tc>
          <w:tcPr>
            <w:tcW w:type="dxa" w:w="2000"/>
            <w:shd w:fill="EE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>Moyens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salarié, le chef de projet : 40 000 € brut par an, soit environ 55 000 € de coût employeur (mutuelle et prévoyance comprises, à confirmer par une simulation de paie).</w:t>
            </w:r>
          </w:p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Bureau et mobilier mis à disposition par le fonds.</w:t>
            </w:r>
          </w:p>
        </w:tc>
      </w:tr>
      <w:tr>
        <w:trPr>
          <w:cantSplit/>
        </w:trPr>
        <w:tc>
          <w:tcPr>
            <w:tcW w:type="dxa" w:w="2000"/>
            <w:shd w:fill="EE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>Financement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FEAMPA, volet régional : seule source publique.</w:t>
            </w:r>
          </w:p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Refacturations au fonds et à Mare Services du temps et des moyens qui leur sont consacrés.</w:t>
            </w:r>
          </w:p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Cotisations des membres : fonds propres et trésorerie de départ, montant à définir.</w:t>
            </w:r>
          </w:p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Le fonds de dotation verse le solde non couvert.</w:t>
            </w:r>
          </w:p>
        </w:tc>
      </w:tr>
      <w:tr>
        <w:trPr>
          <w:cantSplit/>
        </w:trPr>
        <w:tc>
          <w:tcPr>
            <w:tcW w:type="dxa" w:w="2000"/>
            <w:shd w:fill="EE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>Gouvernance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Membres : les fondateurs de l’écosystème (à confirmer). Un bureau (président, trésorier), une assemblée générale par an. L’A-MD ne décide pas des financements du fonds.</w:t>
            </w:r>
          </w:p>
        </w:tc>
      </w:tr>
      <w:tr>
        <w:trPr>
          <w:cantSplit/>
        </w:trPr>
        <w:tc>
          <w:tcPr>
            <w:tcW w:type="dxa" w:w="2000"/>
            <w:shd w:fill="EE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>Après 18 mois</w:t>
            </w:r>
          </w:p>
        </w:tc>
        <w:tc>
          <w:tcPr>
            <w:tcW w:type="dxa" w:w="75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L’A-MD n’a plus de salarié. Elle reste en place, sans charges, jusqu’au versement du solde FEAMPA (délai constaté d’un à deux ans) et pour les contrôles. Elle peut ensuite être dissoute, ou conservée pour porter des projets éligibles aux fonds publics.</w:t>
            </w:r>
          </w:p>
        </w:tc>
      </w:tr>
    </w:tbl>
    <w:p>
      <w:pPr>
        <w:keepNext/>
        <w:spacing w:after="60" w:before="16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6256B"/>
          <w:sz w:val="22"/>
          <w:szCs w:val="22"/>
        </w:rPr>
        <w:t xml:space="preserve">À valider avec Fidal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Transfert du salarié au fonds au bout de 18 mois : reprise du contrat ou nouveau contrat, et capacité du fonds à employer.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TVA des refacturations : exonération des services rendus entre structures qui partagent des moyens (art. 261 B du CGI) vers le fonds ; TVA probable vers Mare Services ; franchise en base.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Cotisations et fonds propres de l’A-MD ; trésorerie en attendant les versements FEAMPA.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0"/>
          <w:szCs w:val="20"/>
        </w:rPr>
        <w:t xml:space="preserve">Sort de l’association après l’opération : dissolution ou maintien.</w:t>
      </w:r>
    </w:p>
    <w:sectPr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Mare Durabilis — Association Mare Durabilis — fiche de présentation — 29/09/2026   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/>
        <w:bCs/>
        <w:color w:val="16256B"/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720" w:hanging="300"/>
      </w:pPr>
      <w:rPr>
        <w:rFonts w:ascii="Calibri" w:cs="Calibri" w:eastAsia="Calibri" w:hAnsi="Calibri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/>
        <w:bCs/>
        <w:color w:val="16256B"/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720" w:hanging="30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/>
        <w:bCs/>
        <w:color w:val="16256B"/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720" w:hanging="300"/>
      </w:pPr>
      <w:rPr>
        <w:rFonts w:ascii="Calibri" w:cs="Calibri" w:eastAsia="Calibri" w:hAnsi="Calibri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00"/>
      </w:pPr>
      <w:rPr>
        <w:rFonts w:ascii="Calibri" w:cs="Calibri" w:eastAsia="Calibri" w:hAnsi="Calibri"/>
        <w:color w:val="0E8A8A"/>
      </w:rPr>
    </w:lvl>
    <w:lvl w:ilvl="1" w15:tentative="1">
      <w:start w:val="1"/>
      <w:numFmt w:val="bullet"/>
      <w:lvlText w:val="–"/>
      <w:lvlJc w:val="left"/>
      <w:pPr>
        <w:ind w:left="7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360"/>
      </w:pPr>
      <w:rPr>
        <w:rFonts w:ascii="Segoe UI Symbol" w:cs="Segoe UI Symbol" w:eastAsia="Segoe UI Symbol" w:hAnsi="Segoe UI Symbol"/>
        <w:color w:val="16256B"/>
      </w:r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Association Mare Durabilis — fiche de présentation</dc:title>
  <dc:creator>Clément Chardon</dc:creator>
  <cp:lastModifiedBy>Un-named</cp:lastModifiedBy>
  <cp:revision>1</cp:revision>
  <dcterms:created xsi:type="dcterms:W3CDTF">2026-09-29T15:09:14.899Z</dcterms:created>
  <dcterms:modified xsi:type="dcterms:W3CDTF">2026-09-29T15:09:14.899Z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