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b w:val="false"/>
          <w:bCs w:val="false"/>
          <w:i w:val="false"/>
          <w:iCs w:val="false"/>
          <w:color w:val="000000"/>
          <w:sz w:val="22"/>
          <w:szCs w:val="22"/>
        </w:rPr>
        <w:t xml:space="preserve"/>
      </w:r>
    </w:p>
    <w:p>
      <w:pPr>
        <w:shd w:color="1F3864" w:val="solid"/>
        <w:spacing w:before="0" w:after="0"/>
        <w:ind w:left="0"/>
        <w:jc w:val="center"/>
      </w:pPr>
      <w:r>
        <w:rPr>
          <w:rFonts w:ascii="Arial" w:cs="Arial" w:eastAsia="Arial" w:hAnsi="Arial"/>
          <w:b/>
          <w:bCs/>
          <w:color w:val="FFFFFF"/>
          <w:sz w:val="72"/>
          <w:szCs w:val="72"/>
        </w:rPr>
        <w:t xml:space="preserve">POWER Digital®</w:t>
      </w:r>
    </w:p>
    <w:p>
      <w:pPr>
        <w:shd w:color="2E75B6" w:val="solid"/>
        <w:spacing w:before="0" w:after="200"/>
        <w:jc w:val="center"/>
      </w:pPr>
      <w:r>
        <w:rPr>
          <w:rFonts w:ascii="Arial" w:cs="Arial" w:eastAsia="Arial" w:hAnsi="Arial"/>
          <w:color w:val="FFFFFF"/>
          <w:sz w:val="32"/>
          <w:szCs w:val="32"/>
        </w:rPr>
        <w:t xml:space="preserve">Documentación de la Base de Datos de Simulación</w:t>
      </w:r>
    </w:p>
    <w:p>
      <w:pPr>
        <w:spacing w:before="60" w:after="60"/>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b/>
          <w:bCs/>
          <w:i w:val="false"/>
          <w:iCs w:val="false"/>
          <w:color w:val="2E75B6"/>
          <w:sz w:val="26"/>
          <w:szCs w:val="26"/>
        </w:rPr>
        <w:t xml:space="preserve">Plataforma de Monitoreo de Energía — Parque Arauco S.A.</w:t>
      </w:r>
    </w:p>
    <w:p>
      <w:pPr>
        <w:jc w:val="center"/>
      </w:pPr>
      <w:r>
        <w:rPr>
          <w:rFonts w:ascii="Arial" w:cs="Arial" w:eastAsia="Arial" w:hAnsi="Arial"/>
          <w:b w:val="false"/>
          <w:bCs w:val="false"/>
          <w:i w:val="false"/>
          <w:iCs w:val="false"/>
          <w:color w:val="595959"/>
          <w:sz w:val="22"/>
          <w:szCs w:val="22"/>
        </w:rPr>
        <w:t xml:space="preserve">2.795 medidores · 26 locaciones · 37.441 MWh/año · Intervalo 15 minutos</w:t>
      </w:r>
    </w:p>
    <w:p>
      <w:pPr>
        <w:spacing w:before="60" w:after="60"/>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b w:val="false"/>
          <w:bCs w:val="false"/>
          <w:i/>
          <w:iCs/>
          <w:color w:val="595959"/>
          <w:sz w:val="20"/>
          <w:szCs w:val="20"/>
        </w:rPr>
        <w:t xml:space="preserve">Versión 1.0  |  Año de simulación: 2026  |  Marzo 2026</w:t>
      </w:r>
    </w:p>
    <w:p>
      <w:r>
        <w:br w:type="page"/>
      </w:r>
    </w:p>
    <w:p>
      <w:pPr>
        <w:pStyle w:val="Heading1"/>
        <w:shd w:color="1F3864" w:val="solid"/>
        <w:spacing w:before="320" w:after="200"/>
        <w:ind w:left="200"/>
      </w:pPr>
      <w:r>
        <w:rPr>
          <w:rFonts w:ascii="Arial" w:cs="Arial" w:eastAsia="Arial" w:hAnsi="Arial"/>
          <w:b/>
          <w:bCs/>
          <w:color w:val="FFFFFF"/>
          <w:sz w:val="36"/>
          <w:szCs w:val="36"/>
        </w:rPr>
        <w:t xml:space="preserve">1. Propósito del Documento</w:t>
      </w:r>
    </w:p>
    <w:p>
      <w:pPr>
        <w:spacing w:before="80" w:after="80"/>
        <w:jc w:val="both"/>
      </w:pPr>
      <w:r>
        <w:rPr>
          <w:rFonts w:ascii="Arial" w:cs="Arial" w:eastAsia="Arial" w:hAnsi="Arial"/>
          <w:b w:val="false"/>
          <w:bCs w:val="false"/>
          <w:i w:val="false"/>
          <w:iCs w:val="false"/>
          <w:color w:val="000000"/>
          <w:sz w:val="22"/>
          <w:szCs w:val="22"/>
        </w:rPr>
        <w:t xml:space="preserve">Este documento describe en detalle la estructura, el contenido y la lógica de generación de la base de datos de simulación de medidores de energía eléctrica para la plataforma POWER Digital®. Su objetivo es permitir que cualquier sistema — humano o de inteligencia artificial — comprenda el significado de cada campo, la relación entre los archivos, y los criterios físicos y estadísticos que gobiernan los datos.</w:t>
      </w:r>
    </w:p>
    <w:p>
      <w:pPr>
        <w:spacing w:before="60" w:after="60"/>
      </w:pPr>
      <w:r>
        <w:rPr>
          <w:rFonts w:ascii="Arial" w:cs="Arial" w:eastAsia="Arial" w:hAnsi="Arial"/>
          <w:b w:val="false"/>
          <w:bCs w:val="false"/>
          <w:i w:val="false"/>
          <w:iCs w:val="false"/>
          <w:color w:val="000000"/>
          <w:sz w:val="22"/>
          <w:szCs w:val="22"/>
        </w:rPr>
        <w:t xml:space="preserve"/>
      </w:r>
    </w:p>
    <w:p>
      <w:pPr>
        <w:spacing w:before="80" w:after="80"/>
        <w:jc w:val="both"/>
      </w:pPr>
      <w:r>
        <w:rPr>
          <w:rFonts w:ascii="Arial" w:cs="Arial" w:eastAsia="Arial" w:hAnsi="Arial"/>
          <w:b w:val="false"/>
          <w:bCs w:val="false"/>
          <w:i w:val="false"/>
          <w:iCs w:val="false"/>
          <w:color w:val="000000"/>
          <w:sz w:val="22"/>
          <w:szCs w:val="22"/>
        </w:rPr>
        <w:t xml:space="preserve">La base de datos simula un año completo (1 enero 2026 – 31 diciembre 2026) de mediciones cada 15 minutos para 2.795 medidores distribuidos en 26 locaciones de centros comerciales de Parque Arauco S.A. en Chile.</w:t>
      </w:r>
    </w:p>
    <w:p>
      <w:pPr>
        <w:pStyle w:val="Heading1"/>
        <w:shd w:color="1F3864" w:val="solid"/>
        <w:spacing w:before="320" w:after="200"/>
        <w:ind w:left="200"/>
      </w:pPr>
      <w:r>
        <w:rPr>
          <w:rFonts w:ascii="Arial" w:cs="Arial" w:eastAsia="Arial" w:hAnsi="Arial"/>
          <w:b/>
          <w:bCs/>
          <w:color w:val="FFFFFF"/>
          <w:sz w:val="36"/>
          <w:szCs w:val="36"/>
        </w:rPr>
        <w:t xml:space="preserve">2. Arquitectura General</w:t>
      </w:r>
    </w:p>
    <w:p>
      <w:pPr>
        <w:pStyle w:val="Heading2"/>
        <w:shd w:color="2E75B6" w:val="solid"/>
        <w:spacing w:before="280" w:after="160"/>
        <w:ind w:left="160"/>
      </w:pPr>
      <w:r>
        <w:rPr>
          <w:rFonts w:ascii="Arial" w:cs="Arial" w:eastAsia="Arial" w:hAnsi="Arial"/>
          <w:b/>
          <w:bCs/>
          <w:color w:val="FFFFFF"/>
          <w:sz w:val="28"/>
          <w:szCs w:val="28"/>
        </w:rPr>
        <w:t xml:space="preserve">2.1 Resumen de Archivos</w:t>
      </w:r>
    </w:p>
    <w:p>
      <w:pPr>
        <w:spacing w:before="80" w:after="80"/>
        <w:jc w:val="both"/>
      </w:pPr>
      <w:r>
        <w:rPr>
          <w:rFonts w:ascii="Arial" w:cs="Arial" w:eastAsia="Arial" w:hAnsi="Arial"/>
          <w:b w:val="false"/>
          <w:bCs w:val="false"/>
          <w:i w:val="false"/>
          <w:iCs w:val="false"/>
          <w:color w:val="000000"/>
          <w:sz w:val="22"/>
          <w:szCs w:val="22"/>
        </w:rPr>
        <w:t xml:space="preserve">La base de datos está compuesta por 5 archivos CSV de referencia, uno por tipo de locación. Cada archivo representa el comportamiento de un centro comercial genérico que se replica para cubrir las 26 locaciones totales.</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gridCol w:w="100"/>
      </w:tblGrid>
      <w:tr>
        <w:trPr>
          <w:tblHeader/>
        </w:trPr>
        <w:tc>
          <w:tcPr>
            <w:tcW w:type="dxa" w:w="28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Archivo CSV</w:t>
            </w:r>
          </w:p>
        </w:tc>
        <w:tc>
          <w:tcPr>
            <w:tcW w:type="dxa" w:w="16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Tipo de Centro</w:t>
            </w:r>
          </w:p>
        </w:tc>
        <w:tc>
          <w:tcPr>
            <w:tcW w:type="dxa" w:w="8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Medidores</w:t>
            </w:r>
          </w:p>
        </w:tc>
        <w:tc>
          <w:tcPr>
            <w:tcW w:type="dxa" w:w="10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MWh/año</w:t>
            </w:r>
          </w:p>
        </w:tc>
        <w:tc>
          <w:tcPr>
            <w:tcW w:type="dxa" w:w="20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Uso / Réplicas</w:t>
            </w:r>
          </w:p>
        </w:tc>
      </w:tr>
      <w:tr>
        <w:tc>
          <w:tcPr>
            <w:tcW w:type="dxa" w:w="2800"/>
            <w:shd w:color="F2F2F2" w:val="solid"/>
            <w:tcMar>
              <w:top w:type="dxa" w:w="80"/>
              <w:left w:type="dxa" w:w="100"/>
              <w:bottom w:type="dxa" w:w="80"/>
              <w:right w:type="dxa" w:w="100"/>
            </w:tcMar>
          </w:tcPr>
          <w:p>
            <w:pPr>
              <w:jc w:val="left"/>
            </w:pPr>
            <w:r>
              <w:rPr>
                <w:rFonts w:ascii="Arial" w:cs="Arial" w:eastAsia="Arial" w:hAnsi="Arial"/>
                <w:b/>
                <w:bCs/>
                <w:sz w:val="18"/>
                <w:szCs w:val="18"/>
              </w:rPr>
              <w:t xml:space="preserve">SC53_StripCenter_anual.csv</w:t>
            </w:r>
          </w:p>
        </w:tc>
        <w:tc>
          <w:tcPr>
            <w:tcW w:type="dxa" w:w="16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Strip Center</w:t>
            </w:r>
          </w:p>
        </w:tc>
        <w:tc>
          <w:tcPr>
            <w:tcW w:type="dxa" w:w="800"/>
            <w:shd w:color="F2F2F2" w:val="solid"/>
            <w:tcMar>
              <w:top w:type="dxa" w:w="80"/>
              <w:left w:type="dxa" w:w="100"/>
              <w:bottom w:type="dxa" w:w="80"/>
              <w:right w:type="dxa" w:w="100"/>
            </w:tcMar>
          </w:tcPr>
          <w:p>
            <w:pPr>
              <w:jc w:val="center"/>
            </w:pPr>
            <w:r>
              <w:rPr>
                <w:rFonts w:ascii="Arial" w:cs="Arial" w:eastAsia="Arial" w:hAnsi="Arial"/>
                <w:b w:val="false"/>
                <w:bCs w:val="false"/>
                <w:sz w:val="18"/>
                <w:szCs w:val="18"/>
              </w:rPr>
              <w:t xml:space="preserve">53</w:t>
            </w:r>
          </w:p>
        </w:tc>
        <w:tc>
          <w:tcPr>
            <w:tcW w:type="dxa" w:w="1000"/>
            <w:shd w:color="F2F2F2" w:val="solid"/>
            <w:tcMar>
              <w:top w:type="dxa" w:w="80"/>
              <w:left w:type="dxa" w:w="100"/>
              <w:bottom w:type="dxa" w:w="80"/>
              <w:right w:type="dxa" w:w="100"/>
            </w:tcMar>
          </w:tcPr>
          <w:p>
            <w:pPr>
              <w:jc w:val="right"/>
            </w:pPr>
            <w:r>
              <w:rPr>
                <w:rFonts w:ascii="Arial" w:cs="Arial" w:eastAsia="Arial" w:hAnsi="Arial"/>
                <w:b w:val="false"/>
                <w:bCs w:val="false"/>
                <w:sz w:val="18"/>
                <w:szCs w:val="18"/>
              </w:rPr>
              <w:t xml:space="preserve">591,17</w:t>
            </w:r>
          </w:p>
        </w:tc>
        <w:tc>
          <w:tcPr>
            <w:tcW w:type="dxa" w:w="20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 13 strip centers</w:t>
            </w:r>
          </w:p>
        </w:tc>
      </w:tr>
      <w:tr>
        <w:tc>
          <w:tcPr>
            <w:tcW w:type="dxa" w:w="2800"/>
            <w:shd w:color="FFFFFF" w:val="solid"/>
            <w:tcMar>
              <w:top w:type="dxa" w:w="80"/>
              <w:left w:type="dxa" w:w="100"/>
              <w:bottom w:type="dxa" w:w="80"/>
              <w:right w:type="dxa" w:w="100"/>
            </w:tcMar>
          </w:tcPr>
          <w:p>
            <w:pPr>
              <w:jc w:val="left"/>
            </w:pPr>
            <w:r>
              <w:rPr>
                <w:rFonts w:ascii="Arial" w:cs="Arial" w:eastAsia="Arial" w:hAnsi="Arial"/>
                <w:b/>
                <w:bCs/>
                <w:sz w:val="18"/>
                <w:szCs w:val="18"/>
              </w:rPr>
              <w:t xml:space="preserve">SC52_StripCenter_anual.csv</w:t>
            </w:r>
          </w:p>
        </w:tc>
        <w:tc>
          <w:tcPr>
            <w:tcW w:type="dxa" w:w="1600"/>
            <w:shd w:color="FFFFFF"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Strip Center</w:t>
            </w:r>
          </w:p>
        </w:tc>
        <w:tc>
          <w:tcPr>
            <w:tcW w:type="dxa" w:w="800"/>
            <w:shd w:color="FFFFFF" w:val="solid"/>
            <w:tcMar>
              <w:top w:type="dxa" w:w="80"/>
              <w:left w:type="dxa" w:w="100"/>
              <w:bottom w:type="dxa" w:w="80"/>
              <w:right w:type="dxa" w:w="100"/>
            </w:tcMar>
          </w:tcPr>
          <w:p>
            <w:pPr>
              <w:jc w:val="center"/>
            </w:pPr>
            <w:r>
              <w:rPr>
                <w:rFonts w:ascii="Arial" w:cs="Arial" w:eastAsia="Arial" w:hAnsi="Arial"/>
                <w:b w:val="false"/>
                <w:bCs w:val="false"/>
                <w:sz w:val="18"/>
                <w:szCs w:val="18"/>
              </w:rPr>
              <w:t xml:space="preserve">52</w:t>
            </w:r>
          </w:p>
        </w:tc>
        <w:tc>
          <w:tcPr>
            <w:tcW w:type="dxa" w:w="1000"/>
            <w:shd w:color="FFFFFF" w:val="solid"/>
            <w:tcMar>
              <w:top w:type="dxa" w:w="80"/>
              <w:left w:type="dxa" w:w="100"/>
              <w:bottom w:type="dxa" w:w="80"/>
              <w:right w:type="dxa" w:w="100"/>
            </w:tcMar>
          </w:tcPr>
          <w:p>
            <w:pPr>
              <w:jc w:val="right"/>
            </w:pPr>
            <w:r>
              <w:rPr>
                <w:rFonts w:ascii="Arial" w:cs="Arial" w:eastAsia="Arial" w:hAnsi="Arial"/>
                <w:b w:val="false"/>
                <w:bCs w:val="false"/>
                <w:sz w:val="18"/>
                <w:szCs w:val="18"/>
              </w:rPr>
              <w:t xml:space="preserve">591,17</w:t>
            </w:r>
          </w:p>
        </w:tc>
        <w:tc>
          <w:tcPr>
            <w:tcW w:type="dxa" w:w="2000"/>
            <w:shd w:color="FFFFFF"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 6 strip centers</w:t>
            </w:r>
          </w:p>
        </w:tc>
      </w:tr>
      <w:tr>
        <w:tc>
          <w:tcPr>
            <w:tcW w:type="dxa" w:w="2800"/>
            <w:shd w:color="F2F2F2" w:val="solid"/>
            <w:tcMar>
              <w:top w:type="dxa" w:w="80"/>
              <w:left w:type="dxa" w:w="100"/>
              <w:bottom w:type="dxa" w:w="80"/>
              <w:right w:type="dxa" w:w="100"/>
            </w:tcMar>
          </w:tcPr>
          <w:p>
            <w:pPr>
              <w:jc w:val="left"/>
            </w:pPr>
            <w:r>
              <w:rPr>
                <w:rFonts w:ascii="Arial" w:cs="Arial" w:eastAsia="Arial" w:hAnsi="Arial"/>
                <w:b/>
                <w:bCs/>
                <w:sz w:val="18"/>
                <w:szCs w:val="18"/>
              </w:rPr>
              <w:t xml:space="preserve">OUTLET_70_anual.csv</w:t>
            </w:r>
          </w:p>
        </w:tc>
        <w:tc>
          <w:tcPr>
            <w:tcW w:type="dxa" w:w="16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Outlet</w:t>
            </w:r>
          </w:p>
        </w:tc>
        <w:tc>
          <w:tcPr>
            <w:tcW w:type="dxa" w:w="800"/>
            <w:shd w:color="F2F2F2" w:val="solid"/>
            <w:tcMar>
              <w:top w:type="dxa" w:w="80"/>
              <w:left w:type="dxa" w:w="100"/>
              <w:bottom w:type="dxa" w:w="80"/>
              <w:right w:type="dxa" w:w="100"/>
            </w:tcMar>
          </w:tcPr>
          <w:p>
            <w:pPr>
              <w:jc w:val="center"/>
            </w:pPr>
            <w:r>
              <w:rPr>
                <w:rFonts w:ascii="Arial" w:cs="Arial" w:eastAsia="Arial" w:hAnsi="Arial"/>
                <w:b w:val="false"/>
                <w:bCs w:val="false"/>
                <w:sz w:val="18"/>
                <w:szCs w:val="18"/>
              </w:rPr>
              <w:t xml:space="preserve">70</w:t>
            </w:r>
          </w:p>
        </w:tc>
        <w:tc>
          <w:tcPr>
            <w:tcW w:type="dxa" w:w="1000"/>
            <w:shd w:color="F2F2F2" w:val="solid"/>
            <w:tcMar>
              <w:top w:type="dxa" w:w="80"/>
              <w:left w:type="dxa" w:w="100"/>
              <w:bottom w:type="dxa" w:w="80"/>
              <w:right w:type="dxa" w:w="100"/>
            </w:tcMar>
          </w:tcPr>
          <w:p>
            <w:pPr>
              <w:jc w:val="right"/>
            </w:pPr>
            <w:r>
              <w:rPr>
                <w:rFonts w:ascii="Arial" w:cs="Arial" w:eastAsia="Arial" w:hAnsi="Arial"/>
                <w:b w:val="false"/>
                <w:bCs w:val="false"/>
                <w:sz w:val="18"/>
                <w:szCs w:val="18"/>
              </w:rPr>
              <w:t xml:space="preserve">936,03</w:t>
            </w:r>
          </w:p>
        </w:tc>
        <w:tc>
          <w:tcPr>
            <w:tcW w:type="dxa" w:w="20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 2 outlets</w:t>
            </w:r>
          </w:p>
        </w:tc>
      </w:tr>
      <w:tr>
        <w:tc>
          <w:tcPr>
            <w:tcW w:type="dxa" w:w="2800"/>
            <w:shd w:color="FFFFFF" w:val="solid"/>
            <w:tcMar>
              <w:top w:type="dxa" w:w="80"/>
              <w:left w:type="dxa" w:w="100"/>
              <w:bottom w:type="dxa" w:w="80"/>
              <w:right w:type="dxa" w:w="100"/>
            </w:tcMar>
          </w:tcPr>
          <w:p>
            <w:pPr>
              <w:jc w:val="left"/>
            </w:pPr>
            <w:r>
              <w:rPr>
                <w:rFonts w:ascii="Arial" w:cs="Arial" w:eastAsia="Arial" w:hAnsi="Arial"/>
                <w:b/>
                <w:bCs/>
                <w:sz w:val="18"/>
                <w:szCs w:val="18"/>
              </w:rPr>
              <w:t xml:space="preserve">MM254 (15 partes)</w:t>
            </w:r>
          </w:p>
        </w:tc>
        <w:tc>
          <w:tcPr>
            <w:tcW w:type="dxa" w:w="1600"/>
            <w:shd w:color="FFFFFF"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Mall Mediano</w:t>
            </w:r>
          </w:p>
        </w:tc>
        <w:tc>
          <w:tcPr>
            <w:tcW w:type="dxa" w:w="800"/>
            <w:shd w:color="FFFFFF" w:val="solid"/>
            <w:tcMar>
              <w:top w:type="dxa" w:w="80"/>
              <w:left w:type="dxa" w:w="100"/>
              <w:bottom w:type="dxa" w:w="80"/>
              <w:right w:type="dxa" w:w="100"/>
            </w:tcMar>
          </w:tcPr>
          <w:p>
            <w:pPr>
              <w:jc w:val="center"/>
            </w:pPr>
            <w:r>
              <w:rPr>
                <w:rFonts w:ascii="Arial" w:cs="Arial" w:eastAsia="Arial" w:hAnsi="Arial"/>
                <w:b w:val="false"/>
                <w:bCs w:val="false"/>
                <w:sz w:val="18"/>
                <w:szCs w:val="18"/>
              </w:rPr>
              <w:t xml:space="preserve">254</w:t>
            </w:r>
          </w:p>
        </w:tc>
        <w:tc>
          <w:tcPr>
            <w:tcW w:type="dxa" w:w="1000"/>
            <w:shd w:color="FFFFFF" w:val="solid"/>
            <w:tcMar>
              <w:top w:type="dxa" w:w="80"/>
              <w:left w:type="dxa" w:w="100"/>
              <w:bottom w:type="dxa" w:w="80"/>
              <w:right w:type="dxa" w:w="100"/>
            </w:tcMar>
          </w:tcPr>
          <w:p>
            <w:pPr>
              <w:jc w:val="right"/>
            </w:pPr>
            <w:r>
              <w:rPr>
                <w:rFonts w:ascii="Arial" w:cs="Arial" w:eastAsia="Arial" w:hAnsi="Arial"/>
                <w:b w:val="false"/>
                <w:bCs w:val="false"/>
                <w:sz w:val="18"/>
                <w:szCs w:val="18"/>
              </w:rPr>
              <w:t xml:space="preserve">3.244,89</w:t>
            </w:r>
          </w:p>
        </w:tc>
        <w:tc>
          <w:tcPr>
            <w:tcW w:type="dxa" w:w="2000"/>
            <w:shd w:color="FFFFFF"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 3 malls medianos</w:t>
            </w:r>
          </w:p>
        </w:tc>
      </w:tr>
      <w:tr>
        <w:tc>
          <w:tcPr>
            <w:tcW w:type="dxa" w:w="2800"/>
            <w:shd w:color="F2F2F2" w:val="solid"/>
            <w:tcMar>
              <w:top w:type="dxa" w:w="80"/>
              <w:left w:type="dxa" w:w="100"/>
              <w:bottom w:type="dxa" w:w="80"/>
              <w:right w:type="dxa" w:w="100"/>
            </w:tcMar>
          </w:tcPr>
          <w:p>
            <w:pPr>
              <w:jc w:val="left"/>
            </w:pPr>
            <w:r>
              <w:rPr>
                <w:rFonts w:ascii="Arial" w:cs="Arial" w:eastAsia="Arial" w:hAnsi="Arial"/>
                <w:b/>
                <w:bCs/>
                <w:sz w:val="18"/>
                <w:szCs w:val="18"/>
              </w:rPr>
              <w:t xml:space="preserve">MG446 (27 partes)</w:t>
            </w:r>
          </w:p>
        </w:tc>
        <w:tc>
          <w:tcPr>
            <w:tcW w:type="dxa" w:w="16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Mall Grande</w:t>
            </w:r>
          </w:p>
        </w:tc>
        <w:tc>
          <w:tcPr>
            <w:tcW w:type="dxa" w:w="800"/>
            <w:shd w:color="F2F2F2" w:val="solid"/>
            <w:tcMar>
              <w:top w:type="dxa" w:w="80"/>
              <w:left w:type="dxa" w:w="100"/>
              <w:bottom w:type="dxa" w:w="80"/>
              <w:right w:type="dxa" w:w="100"/>
            </w:tcMar>
          </w:tcPr>
          <w:p>
            <w:pPr>
              <w:jc w:val="center"/>
            </w:pPr>
            <w:r>
              <w:rPr>
                <w:rFonts w:ascii="Arial" w:cs="Arial" w:eastAsia="Arial" w:hAnsi="Arial"/>
                <w:b w:val="false"/>
                <w:bCs w:val="false"/>
                <w:sz w:val="18"/>
                <w:szCs w:val="18"/>
              </w:rPr>
              <w:t xml:space="preserve">446</w:t>
            </w:r>
          </w:p>
        </w:tc>
        <w:tc>
          <w:tcPr>
            <w:tcW w:type="dxa" w:w="1000"/>
            <w:shd w:color="F2F2F2" w:val="solid"/>
            <w:tcMar>
              <w:top w:type="dxa" w:w="80"/>
              <w:left w:type="dxa" w:w="100"/>
              <w:bottom w:type="dxa" w:w="80"/>
              <w:right w:type="dxa" w:w="100"/>
            </w:tcMar>
          </w:tcPr>
          <w:p>
            <w:pPr>
              <w:jc w:val="right"/>
            </w:pPr>
            <w:r>
              <w:rPr>
                <w:rFonts w:ascii="Arial" w:cs="Arial" w:eastAsia="Arial" w:hAnsi="Arial"/>
                <w:b w:val="false"/>
                <w:bCs w:val="false"/>
                <w:sz w:val="18"/>
                <w:szCs w:val="18"/>
              </w:rPr>
              <w:t xml:space="preserve">7.300,99</w:t>
            </w:r>
          </w:p>
        </w:tc>
        <w:tc>
          <w:tcPr>
            <w:tcW w:type="dxa" w:w="2000"/>
            <w:shd w:color="F2F2F2" w:val="solid"/>
            <w:tcMar>
              <w:top w:type="dxa" w:w="80"/>
              <w:left w:type="dxa" w:w="100"/>
              <w:bottom w:type="dxa" w:w="80"/>
              <w:right w:type="dxa" w:w="100"/>
            </w:tcMar>
          </w:tcPr>
          <w:p>
            <w:pPr>
              <w:jc w:val="left"/>
            </w:pPr>
            <w:r>
              <w:rPr>
                <w:rFonts w:ascii="Arial" w:cs="Arial" w:eastAsia="Arial" w:hAnsi="Arial"/>
                <w:b w:val="false"/>
                <w:bCs w:val="false"/>
                <w:sz w:val="18"/>
                <w:szCs w:val="18"/>
              </w:rPr>
              <w:t xml:space="preserve">× 2 malls grandes</w:t>
            </w:r>
          </w:p>
        </w:tc>
      </w:tr>
      <w:tr>
        <w:tc>
          <w:tcPr>
            <w:tcW w:type="dxa" w:w="4400"/>
            <w:gridSpan w:val="2"/>
            <w:shd w:color="1F3864" w:val="solid"/>
            <w:tcMar>
              <w:top w:type="dxa" w:w="100"/>
              <w:left w:type="dxa" w:w="100"/>
              <w:bottom w:type="dxa" w:w="100"/>
              <w:right w:type="dxa" w:w="100"/>
            </w:tcMar>
          </w:tcPr>
          <w:p>
            <w:pPr>
              <w:jc w:val="right"/>
            </w:pPr>
            <w:r>
              <w:rPr>
                <w:rFonts w:ascii="Arial" w:cs="Arial" w:eastAsia="Arial" w:hAnsi="Arial"/>
                <w:b/>
                <w:bCs/>
                <w:color w:val="FFFFFF"/>
                <w:sz w:val="20"/>
                <w:szCs w:val="20"/>
              </w:rPr>
              <w:t xml:space="preserve">TOTAL GLOBAL</w:t>
            </w:r>
          </w:p>
        </w:tc>
        <w:tc>
          <w:tcPr>
            <w:tcW w:type="dxa" w:w="800"/>
            <w:shd w:color="1F3864" w:val="solid"/>
            <w:tcMar>
              <w:top w:type="dxa" w:w="100"/>
              <w:left w:type="dxa" w:w="100"/>
              <w:bottom w:type="dxa" w:w="100"/>
              <w:right w:type="dxa" w:w="100"/>
            </w:tcMar>
          </w:tcPr>
          <w:p>
            <w:pPr>
              <w:jc w:val="center"/>
            </w:pPr>
            <w:r>
              <w:rPr>
                <w:rFonts w:ascii="Arial" w:cs="Arial" w:eastAsia="Arial" w:hAnsi="Arial"/>
                <w:b/>
                <w:bCs/>
                <w:color w:val="FFFFFF"/>
                <w:sz w:val="20"/>
                <w:szCs w:val="20"/>
              </w:rPr>
              <w:t xml:space="preserve">2.795</w:t>
            </w:r>
          </w:p>
        </w:tc>
        <w:tc>
          <w:tcPr>
            <w:tcW w:type="dxa" w:w="1000"/>
            <w:shd w:color="1F3864" w:val="solid"/>
            <w:tcMar>
              <w:top w:type="dxa" w:w="100"/>
              <w:left w:type="dxa" w:w="100"/>
              <w:bottom w:type="dxa" w:w="100"/>
              <w:right w:type="dxa" w:w="100"/>
            </w:tcMar>
          </w:tcPr>
          <w:p>
            <w:pPr>
              <w:jc w:val="right"/>
            </w:pPr>
            <w:r>
              <w:rPr>
                <w:rFonts w:ascii="Arial" w:cs="Arial" w:eastAsia="Arial" w:hAnsi="Arial"/>
                <w:b/>
                <w:bCs/>
                <w:color w:val="FFFFFF"/>
                <w:sz w:val="20"/>
                <w:szCs w:val="20"/>
              </w:rPr>
              <w:t xml:space="preserve">37.441</w:t>
            </w:r>
          </w:p>
        </w:tc>
        <w:tc>
          <w:tcPr>
            <w:tcW w:type="dxa" w:w="2000"/>
            <w:shd w:color="1F3864" w:val="solid"/>
            <w:tcMar>
              <w:top w:type="dxa" w:w="100"/>
              <w:left w:type="dxa" w:w="100"/>
              <w:bottom w:type="dxa" w:w="100"/>
              <w:right w:type="dxa" w:w="100"/>
            </w:tcMar>
          </w:tcPr>
          <w:p>
            <w:r>
              <w:rPr>
                <w:rFonts w:ascii="Arial" w:cs="Arial" w:eastAsia="Arial" w:hAnsi="Arial"/>
                <w:b/>
                <w:bCs/>
                <w:color w:val="FFFFFF"/>
                <w:sz w:val="20"/>
                <w:szCs w:val="20"/>
              </w:rPr>
              <w:t xml:space="preserve">26 locaciones</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2.2 Distribución de Consumo por Tipo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Mall (65% del total): 2 grandes × 7.301 MWh + 3 medianos × 3.245 MWh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Outlet (5% del total): 2 outlets × 936 MWh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Strip Center (30% del total): 19 strip centers × 591 MWh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El patrón estacional (variación mes a mes) es igual para todos los centros y se basa en el consumo histórico real de Parque Arauco.</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2.3 Distribución Mensual (Patrón Estacional)</w:t>
      </w:r>
    </w:p>
    <w:p>
      <w:pPr>
        <w:spacing w:before="80" w:after="80"/>
        <w:jc w:val="both"/>
      </w:pPr>
      <w:r>
        <w:rPr>
          <w:rFonts w:ascii="Arial" w:cs="Arial" w:eastAsia="Arial" w:hAnsi="Arial"/>
          <w:b w:val="false"/>
          <w:bCs w:val="false"/>
          <w:i w:val="false"/>
          <w:iCs w:val="false"/>
          <w:color w:val="000000"/>
          <w:sz w:val="22"/>
          <w:szCs w:val="22"/>
        </w:rPr>
        <w:t xml:space="preserve">Todos los medidores de todos los centros siguen el mismo patrón estacional basado en datos históricos reales de Parque Arauco S.A. Diciembre es el mes de mayor consumo (peak verano / fiestas) y Abril el de menor consumo.</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5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Mes</w:t>
            </w:r>
          </w:p>
        </w:tc>
        <w:tc>
          <w:tcPr>
            <w:tcW w:type="dxa" w:w="15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MWh Global</w:t>
            </w:r>
          </w:p>
        </w:tc>
        <w:tc>
          <w:tcPr>
            <w:tcW w:type="dxa" w:w="15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 del Año</w:t>
            </w:r>
          </w:p>
        </w:tc>
        <w:tc>
          <w:tcPr>
            <w:tcW w:type="dxa" w:w="47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Característica</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Enero</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3.331</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8,90%</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Verano — consumo alto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Febrero</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2.969</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7,93%</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Verano tardío</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Marzo</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3.046</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8,14%</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Fin verano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Abril</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2.697</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7,20%</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Mínimo anual</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Mayo</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3.024</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8,08%</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Otoño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Junio</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2.867</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7,66%</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Invierno bajo</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Julio</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2.948</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7,87%</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Invierno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Agosto</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2.951</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7,88%</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Invierno</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Septiembre</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2.833</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7,57%</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Fin invierno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Octubre</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3.321</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8,87%</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Primavera alta</w:t>
            </w:r>
          </w:p>
        </w:tc>
      </w:tr>
      <w:tr>
        <w:tc>
          <w:tcPr>
            <w:tcW w:type="dxa" w:w="1500"/>
            <w:shd w:color="F2F2F2" w:val="solid"/>
            <w:tcMar>
              <w:top w:type="dxa" w:w="60"/>
              <w:left w:type="dxa" w:w="100"/>
              <w:bottom w:type="dxa" w:w="60"/>
              <w:right w:type="dxa" w:w="100"/>
            </w:tcMar>
          </w:tcPr>
          <w:p>
            <w:r>
              <w:rPr>
                <w:rFonts w:ascii="Arial" w:cs="Arial" w:eastAsia="Arial" w:hAnsi="Arial"/>
                <w:b/>
                <w:bCs/>
                <w:sz w:val="18"/>
                <w:szCs w:val="18"/>
              </w:rPr>
              <w:t xml:space="preserve">Noviembre</w:t>
            </w:r>
          </w:p>
        </w:tc>
        <w:tc>
          <w:tcPr>
            <w:tcW w:type="dxa" w:w="1500"/>
            <w:shd w:color="F2F2F2" w:val="solid"/>
            <w:tcMar>
              <w:top w:type="dxa" w:w="60"/>
              <w:left w:type="dxa" w:w="100"/>
              <w:bottom w:type="dxa" w:w="60"/>
              <w:right w:type="dxa" w:w="100"/>
            </w:tcMar>
          </w:tcPr>
          <w:p>
            <w:pPr>
              <w:jc w:val="right"/>
            </w:pPr>
            <w:r>
              <w:rPr>
                <w:rFonts w:ascii="Arial" w:cs="Arial" w:eastAsia="Arial" w:hAnsi="Arial"/>
                <w:sz w:val="18"/>
                <w:szCs w:val="18"/>
              </w:rPr>
              <w:t xml:space="preserve">3.414</w:t>
            </w:r>
          </w:p>
        </w:tc>
        <w:tc>
          <w:tcPr>
            <w:tcW w:type="dxa" w:w="1500"/>
            <w:shd w:color="F2F2F2" w:val="solid"/>
            <w:tcMar>
              <w:top w:type="dxa" w:w="60"/>
              <w:left w:type="dxa" w:w="100"/>
              <w:bottom w:type="dxa" w:w="60"/>
              <w:right w:type="dxa" w:w="100"/>
            </w:tcMar>
          </w:tcPr>
          <w:p>
            <w:pPr>
              <w:jc w:val="center"/>
            </w:pPr>
            <w:r>
              <w:rPr>
                <w:rFonts w:ascii="Arial" w:cs="Arial" w:eastAsia="Arial" w:hAnsi="Arial"/>
                <w:sz w:val="18"/>
                <w:szCs w:val="18"/>
              </w:rPr>
              <w:t xml:space="preserve">9,12%</w:t>
            </w:r>
          </w:p>
        </w:tc>
        <w:tc>
          <w:tcPr>
            <w:tcW w:type="dxa" w:w="4700"/>
            <w:shd w:color="F2F2F2" w:val="solid"/>
            <w:tcMar>
              <w:top w:type="dxa" w:w="60"/>
              <w:left w:type="dxa" w:w="100"/>
              <w:bottom w:type="dxa" w:w="60"/>
              <w:right w:type="dxa" w:w="100"/>
            </w:tcMar>
          </w:tcPr>
          <w:p>
            <w:r>
              <w:rPr>
                <w:rFonts w:ascii="Arial" w:cs="Arial" w:eastAsia="Arial" w:hAnsi="Arial"/>
                <w:sz w:val="18"/>
                <w:szCs w:val="18"/>
              </w:rPr>
              <w:t xml:space="preserve">Pre-verano</w:t>
            </w:r>
          </w:p>
        </w:tc>
      </w:tr>
      <w:tr>
        <w:tc>
          <w:tcPr>
            <w:tcW w:type="dxa" w:w="1500"/>
            <w:shd w:color="FFFFFF" w:val="solid"/>
            <w:tcMar>
              <w:top w:type="dxa" w:w="60"/>
              <w:left w:type="dxa" w:w="100"/>
              <w:bottom w:type="dxa" w:w="60"/>
              <w:right w:type="dxa" w:w="100"/>
            </w:tcMar>
          </w:tcPr>
          <w:p>
            <w:r>
              <w:rPr>
                <w:rFonts w:ascii="Arial" w:cs="Arial" w:eastAsia="Arial" w:hAnsi="Arial"/>
                <w:b/>
                <w:bCs/>
                <w:sz w:val="18"/>
                <w:szCs w:val="18"/>
              </w:rPr>
              <w:t xml:space="preserve">Diciembre</w:t>
            </w:r>
          </w:p>
        </w:tc>
        <w:tc>
          <w:tcPr>
            <w:tcW w:type="dxa" w:w="1500"/>
            <w:shd w:color="FFFFFF" w:val="solid"/>
            <w:tcMar>
              <w:top w:type="dxa" w:w="60"/>
              <w:left w:type="dxa" w:w="100"/>
              <w:bottom w:type="dxa" w:w="60"/>
              <w:right w:type="dxa" w:w="100"/>
            </w:tcMar>
          </w:tcPr>
          <w:p>
            <w:pPr>
              <w:jc w:val="right"/>
            </w:pPr>
            <w:r>
              <w:rPr>
                <w:rFonts w:ascii="Arial" w:cs="Arial" w:eastAsia="Arial" w:hAnsi="Arial"/>
                <w:sz w:val="18"/>
                <w:szCs w:val="18"/>
              </w:rPr>
              <w:t xml:space="preserve">4.040</w:t>
            </w:r>
          </w:p>
        </w:tc>
        <w:tc>
          <w:tcPr>
            <w:tcW w:type="dxa" w:w="1500"/>
            <w:shd w:color="FFFFFF" w:val="solid"/>
            <w:tcMar>
              <w:top w:type="dxa" w:w="60"/>
              <w:left w:type="dxa" w:w="100"/>
              <w:bottom w:type="dxa" w:w="60"/>
              <w:right w:type="dxa" w:w="100"/>
            </w:tcMar>
          </w:tcPr>
          <w:p>
            <w:pPr>
              <w:jc w:val="center"/>
            </w:pPr>
            <w:r>
              <w:rPr>
                <w:rFonts w:ascii="Arial" w:cs="Arial" w:eastAsia="Arial" w:hAnsi="Arial"/>
                <w:sz w:val="18"/>
                <w:szCs w:val="18"/>
              </w:rPr>
              <w:t xml:space="preserve">10,79%</w:t>
            </w:r>
          </w:p>
        </w:tc>
        <w:tc>
          <w:tcPr>
            <w:tcW w:type="dxa" w:w="4700"/>
            <w:shd w:color="FFFFFF" w:val="solid"/>
            <w:tcMar>
              <w:top w:type="dxa" w:w="60"/>
              <w:left w:type="dxa" w:w="100"/>
              <w:bottom w:type="dxa" w:w="60"/>
              <w:right w:type="dxa" w:w="100"/>
            </w:tcMar>
          </w:tcPr>
          <w:p>
            <w:r>
              <w:rPr>
                <w:rFonts w:ascii="Arial" w:cs="Arial" w:eastAsia="Arial" w:hAnsi="Arial"/>
                <w:sz w:val="18"/>
                <w:szCs w:val="18"/>
              </w:rPr>
              <w:t xml:space="preserve">PEAK — Navidad/Año Nuevo</w:t>
            </w:r>
          </w:p>
        </w:tc>
      </w:tr>
    </w:tbl>
    <w:p>
      <w:r>
        <w:br w:type="page"/>
      </w:r>
    </w:p>
    <w:p>
      <w:pPr>
        <w:pStyle w:val="Heading1"/>
        <w:shd w:color="1F3864" w:val="solid"/>
        <w:spacing w:before="320" w:after="200"/>
        <w:ind w:left="200"/>
      </w:pPr>
      <w:r>
        <w:rPr>
          <w:rFonts w:ascii="Arial" w:cs="Arial" w:eastAsia="Arial" w:hAnsi="Arial"/>
          <w:b/>
          <w:bCs/>
          <w:color w:val="FFFFFF"/>
          <w:sz w:val="36"/>
          <w:szCs w:val="36"/>
        </w:rPr>
        <w:t xml:space="preserve">3. Estructura de Filas</w:t>
      </w:r>
    </w:p>
    <w:p>
      <w:pPr>
        <w:spacing w:before="80" w:after="80"/>
        <w:jc w:val="both"/>
      </w:pPr>
      <w:r>
        <w:rPr>
          <w:rFonts w:ascii="Arial" w:cs="Arial" w:eastAsia="Arial" w:hAnsi="Arial"/>
          <w:b w:val="false"/>
          <w:bCs w:val="false"/>
          <w:i w:val="false"/>
          <w:iCs w:val="false"/>
          <w:color w:val="000000"/>
          <w:sz w:val="22"/>
          <w:szCs w:val="22"/>
        </w:rPr>
        <w:t xml:space="preserve">Cada fila del CSV representa una lectura de un medidor en un instante de tiempo específico. La unidad mínima es: 1 medidor × 1 intervalo de 15 minutos = 1 fila.</w:t>
      </w:r>
    </w:p>
    <w:p>
      <w:pPr>
        <w:spacing w:before="60" w:after="6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Cada medidor genera exactamente 35.040 filas por año (365 días × 24 horas × 4 intervalos/hora).</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La primera fila de cada medidor tiene energy_kWh_total = 0 (primera lectura, sin consumo acumulado previo).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Las filas están ordenadas por medidor y luego por timestamp de forma ascendente.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Medidores monofásicos (PAC1651): los campos voltage_L2, voltage_L3, current_L2, current_L3 están vacíos.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Medidores trifásicos (PAC1670): todos los campos de voltaje y corriente tienen valor.</w:t>
      </w:r>
    </w:p>
    <w:p>
      <w:pPr>
        <w:spacing w:before="60" w:after="60"/>
      </w:pPr>
      <w:r>
        <w:rPr>
          <w:rFonts w:ascii="Arial" w:cs="Arial" w:eastAsia="Arial" w:hAnsi="Arial"/>
          <w:b w:val="false"/>
          <w:bCs w:val="false"/>
          <w:i w:val="false"/>
          <w:iCs w:val="false"/>
          <w:color w:val="000000"/>
          <w:sz w:val="22"/>
          <w:szCs w:val="22"/>
        </w:rPr>
        <w:t xml:space="preserve"/>
      </w:r>
    </w:p>
    <w:p>
      <w:pPr>
        <w:spacing w:before="80" w:after="80"/>
        <w:jc w:val="both"/>
      </w:pPr>
      <w:r>
        <w:rPr>
          <w:rFonts w:ascii="Arial" w:cs="Arial" w:eastAsia="Arial" w:hAnsi="Arial"/>
          <w:b/>
          <w:bCs/>
          <w:i w:val="false"/>
          <w:iCs w:val="false"/>
          <w:color w:val="000000"/>
          <w:sz w:val="22"/>
          <w:szCs w:val="22"/>
        </w:rPr>
        <w:t xml:space="preserve">Fórmula de filas por archivo:</w:t>
      </w:r>
    </w:p>
    <w:p>
      <w:pPr>
        <w:shd w:color="F2F2F2" w:val="solid"/>
        <w:spacing w:before="80" w:after="80"/>
        <w:ind w:left="600"/>
      </w:pPr>
      <w:r>
        <w:rPr>
          <w:rFonts w:ascii="Courier New" w:cs="Courier New" w:eastAsia="Courier New" w:hAnsi="Courier New"/>
          <w:b/>
          <w:bCs/>
          <w:color w:val="1F3864"/>
          <w:sz w:val="22"/>
          <w:szCs w:val="22"/>
        </w:rPr>
        <w:t xml:space="preserve">N° filas = N° medidores × 35.040</w:t>
      </w:r>
    </w:p>
    <w:p>
      <w:pPr>
        <w:spacing w:before="60" w:after="60"/>
      </w:pPr>
      <w:r>
        <w:rPr>
          <w:rFonts w:ascii="Arial" w:cs="Arial" w:eastAsia="Arial" w:hAnsi="Arial"/>
          <w:b w:val="false"/>
          <w:bCs w:val="false"/>
          <w:i w:val="false"/>
          <w:iCs w:val="false"/>
          <w:color w:val="000000"/>
          <w:sz w:val="22"/>
          <w:szCs w:val="22"/>
        </w:rPr>
        <w:t xml:space="preserve"/>
      </w:r>
    </w:p>
    <w:p>
      <w:pPr>
        <w:spacing w:before="80" w:after="80"/>
        <w:jc w:val="both"/>
      </w:pPr>
      <w:r>
        <w:rPr>
          <w:rFonts w:ascii="Arial" w:cs="Arial" w:eastAsia="Arial" w:hAnsi="Arial"/>
          <w:b w:val="false"/>
          <w:bCs w:val="false"/>
          <w:i w:val="false"/>
          <w:iCs w:val="false"/>
          <w:color w:val="000000"/>
          <w:sz w:val="22"/>
          <w:szCs w:val="22"/>
        </w:rPr>
        <w:t xml:space="preserve">Ejemplo: Mall Grande (446 medidores) → 446 × 35.040 = 15.627.840 filas totales.</w:t>
      </w:r>
    </w:p>
    <w:p>
      <w:pPr>
        <w:pStyle w:val="Heading1"/>
        <w:shd w:color="1F3864" w:val="solid"/>
        <w:spacing w:before="320" w:after="200"/>
        <w:ind w:left="200"/>
      </w:pPr>
      <w:r>
        <w:rPr>
          <w:rFonts w:ascii="Arial" w:cs="Arial" w:eastAsia="Arial" w:hAnsi="Arial"/>
          <w:b/>
          <w:bCs/>
          <w:color w:val="FFFFFF"/>
          <w:sz w:val="36"/>
          <w:szCs w:val="36"/>
        </w:rPr>
        <w:t xml:space="preserve">4. Diccionario de Columnas</w:t>
      </w:r>
    </w:p>
    <w:p>
      <w:pPr>
        <w:spacing w:before="80" w:after="80"/>
        <w:jc w:val="both"/>
      </w:pPr>
      <w:r>
        <w:rPr>
          <w:rFonts w:ascii="Arial" w:cs="Arial" w:eastAsia="Arial" w:hAnsi="Arial"/>
          <w:b w:val="false"/>
          <w:bCs w:val="false"/>
          <w:i w:val="false"/>
          <w:iCs w:val="false"/>
          <w:color w:val="000000"/>
          <w:sz w:val="22"/>
          <w:szCs w:val="22"/>
        </w:rPr>
        <w:t xml:space="preserve">El archivo CSV tiene 21 columnas separadas por punto y coma (;). Los valores decimales usan coma (,) como separador decimal, compatible con Excel en español. La codificación es UTF-8 con BOM.</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4.1 Columnas de Identificación Temporal</w:t>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timestamp</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datetime</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Fecha y hora de la lectura en formato ISO 8601. Intervalo fijo de 15 minutos. Año completo 2026.</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2026-01-15T14:30:00</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4.2 Columnas de Identificación del Medidor</w:t>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meter_id</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Identificador único del medidor dentro de su grupo. Formato: prefijo + número secuencial de 3 dígitos. Prefijos: MG (Mall Grande), MM (Mall Mediano), OT (Outlet), SC53 / SC52 (Strip Center).</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MG-001 / MM-045 / OT-012 / SC53-030</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center_name</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Nombre del centro comercial al que pertenece el medidor. Define la locación física. Se repite para todos los medidores de un mismo centro.</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Parque Arauco Kennedy</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center_type</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Categoría del centro comercial. Valores posibles: Mall Grande, Mall Mediano, Outlet, Strip Center.</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Mall Grande / Strip Center</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store_type</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Categoría o rubro de la tienda o local medido. Ejemplos: SSCC, Retail, Supermercado, Café, Farmacia, Local no sensado.</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Retail / Café / SSCC</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store_name</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Nombre comercial de la tienda o local. Para locales sin información se usa 'Local no sensado N'.</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Falabella / Starbucks / SSCC</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4.3 Columnas de Configuración Técnica</w:t>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model</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Modelo del medidor Siemens PAC instalado. PAC1670 = trifásico (3 fases). PAC1651 = monofásico (1 fase).</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PAC1670 / PAC1651</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phase_type</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Tipo de conexión eléctrica. 3P = trifásico (tres fases). 1P = monofásico (una fase). Siempre coherente con el campo model.</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3P / 1P</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uplink_route</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string</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Ruta de comunicación desde el medidor hasta la nube MQTT. Define qué concentrador y protocolo usa. Dos arquitecturas posibles: PAC4220→POWER_CENTER_3000→MQTT o S7-1200→MQTT_Module→Cloud.</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PAC4220-01→POWER_CENTER_3000→MQTT</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modbus_address</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integer</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Dirección Modbus RTU única del medidor dentro de su bus RS-485. Rango válido: 1 a 32 por concentrador. Se reinicia en cada concentrador.</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1 / 15 / 32</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4.4 Columnas Eléctricas — Voltaje</w:t>
      </w:r>
    </w:p>
    <w:p>
      <w:pPr>
        <w:spacing w:before="80" w:after="80"/>
        <w:jc w:val="both"/>
      </w:pPr>
      <w:r>
        <w:rPr>
          <w:rFonts w:ascii="Arial" w:cs="Arial" w:eastAsia="Arial" w:hAnsi="Arial"/>
          <w:b w:val="false"/>
          <w:bCs w:val="false"/>
          <w:i w:val="false"/>
          <w:iCs w:val="false"/>
          <w:color w:val="000000"/>
          <w:sz w:val="22"/>
          <w:szCs w:val="22"/>
        </w:rPr>
        <w:t xml:space="preserve">Los voltajes representan la tensión de línea medida en cada fase. La tensión nominal es 230V con variación gaussiana de ±1,5V simulando fluctuaciones normales de red.</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voltage_L1</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Voltaje de la fase L1 en Voltios. Presente en todos los medidores (monofásicos y trifásicos).</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229,45 / 231,12</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voltage_L2</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Voltaje de la fase L2 en Voltios. Solo presente en medidores trifásicos (PAC1670 / 3P). Vacío en monofásicos.</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230,87</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voltage_L3</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Voltaje de la fase L3 en Voltios. Solo presente en medidores trifásicos (PAC1670 / 3P). Vacío en monofásicos.</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228,93</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4.5 Columnas Eléctricas — Corriente</w:t>
      </w:r>
    </w:p>
    <w:p>
      <w:pPr>
        <w:spacing w:before="80" w:after="80"/>
        <w:jc w:val="both"/>
      </w:pPr>
      <w:r>
        <w:rPr>
          <w:rFonts w:ascii="Arial" w:cs="Arial" w:eastAsia="Arial" w:hAnsi="Arial"/>
          <w:b w:val="false"/>
          <w:bCs w:val="false"/>
          <w:i w:val="false"/>
          <w:iCs w:val="false"/>
          <w:color w:val="000000"/>
          <w:sz w:val="22"/>
          <w:szCs w:val="22"/>
        </w:rPr>
        <w:t xml:space="preserve">La corriente se calcula a partir de la potencia activa, el voltaje y el factor de potencia usando la fórmula de potencia eléctrica. Para trifásicos: I = P / (√3 × V × PF). Para monofásicos: I = P / (V × PF).</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current_L1</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Corriente de la fase L1 en Amperios. Presente en todos los medidores.</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12,450 / 0,847</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current_L2</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Corriente de la fase L2 en Amperios. Solo presente en medidores trifásicos. Vacío en monofásicos.</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12,520</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current_L3</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Corriente de la fase L3 en Amperios. Solo presente en medidores trifásicos. Vacío en monofásicos.</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12,388</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4.6 Columnas de Potencia y Energía</w:t>
      </w:r>
    </w:p>
    <w:p>
      <w:pPr>
        <w:spacing w:before="80" w:after="80"/>
        <w:jc w:val="both"/>
      </w:pPr>
      <w:r>
        <w:rPr>
          <w:rFonts w:ascii="Arial" w:cs="Arial" w:eastAsia="Arial" w:hAnsi="Arial"/>
          <w:b w:val="false"/>
          <w:bCs w:val="false"/>
          <w:i w:val="false"/>
          <w:iCs w:val="false"/>
          <w:color w:val="000000"/>
          <w:sz w:val="22"/>
          <w:szCs w:val="22"/>
        </w:rPr>
        <w:t xml:space="preserve">Estas columnas son las más importantes para el análisis de consumo. La potencia activa (power_kW) es el valor instantáneo y la energía acumulada (energy_kWh_total) es la integral en el tiempo.</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18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Columna</w:t>
            </w:r>
          </w:p>
        </w:tc>
        <w:tc>
          <w:tcPr>
            <w:tcW w:type="dxa" w:w="10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Tipo</w:t>
            </w:r>
          </w:p>
        </w:tc>
        <w:tc>
          <w:tcPr>
            <w:tcW w:type="dxa" w:w="4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Descripción</w:t>
            </w:r>
          </w:p>
        </w:tc>
        <w:tc>
          <w:tcPr>
            <w:tcW w:type="dxa" w:w="2200"/>
            <w:shd w:color="1F3864" w:val="solid"/>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Ejemplo</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power_kW</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Potencia activa instantánea en kiloWatts en el intervalo de 15 minutos. Varía según el perfil horario, estacional y el ruido gaussiano. Nunca negativa (mínimo 0,001 kW).</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45,2341 / 2,8820</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reactive_power_kvar</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Potencia reactiva en kiloVAr. Calculada como: kW × tan(arccos(PF)). Representa la energía no útil consumida por cargas inductivas.</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14,2150 / 0,9540</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power_factor</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Factor de potencia (coseno de phi). Rango simulado: 0,80 a 0,99. Media 0,920 con desviación estándar 0,012. Representa la eficiencia de uso de la energía eléctrica.</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0,9230 / 0,8750</w:t>
            </w:r>
          </w:p>
        </w:tc>
      </w:tr>
      <w:tr>
        <w:tc>
          <w:tcPr>
            <w:tcW w:type="dxa" w:w="1800"/>
            <w:shd w:color="FFFFFF" w:val="solid"/>
            <w:tcMar>
              <w:top w:type="dxa" w:w="80"/>
              <w:left w:type="dxa" w:w="100"/>
              <w:bottom w:type="dxa" w:w="80"/>
              <w:right w:type="dxa" w:w="100"/>
            </w:tcMar>
            <w:vAlign w:val="top"/>
          </w:tcPr>
          <w:p>
            <w:r>
              <w:rPr>
                <w:rFonts w:ascii="Arial" w:cs="Arial" w:eastAsia="Arial" w:hAnsi="Arial"/>
                <w:b/>
                <w:bCs/>
                <w:color w:val="2E75B6"/>
                <w:sz w:val="18"/>
                <w:szCs w:val="18"/>
              </w:rPr>
              <w:t xml:space="preserve">frequency_Hz</w:t>
            </w:r>
          </w:p>
        </w:tc>
        <w:tc>
          <w:tcPr>
            <w:tcW w:type="dxa" w:w="10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FFFFF"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Frecuencia de la red eléctrica en Hertz. Nominal 50 Hz (red chilena) con ruido gaussiano de ±0,025 Hz.</w:t>
            </w:r>
          </w:p>
        </w:tc>
        <w:tc>
          <w:tcPr>
            <w:tcW w:type="dxa" w:w="2200"/>
            <w:shd w:color="FFFFFF"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50,012 / 49,987</w:t>
            </w:r>
          </w:p>
        </w:tc>
      </w:tr>
      <w:tr>
        <w:tc>
          <w:tcPr>
            <w:tcW w:type="dxa" w:w="1800"/>
            <w:shd w:color="F2F2F2" w:val="solid"/>
            <w:tcMar>
              <w:top w:type="dxa" w:w="80"/>
              <w:left w:type="dxa" w:w="100"/>
              <w:bottom w:type="dxa" w:w="80"/>
              <w:right w:type="dxa" w:w="100"/>
            </w:tcMar>
            <w:vAlign w:val="top"/>
          </w:tcPr>
          <w:p>
            <w:r>
              <w:rPr>
                <w:rFonts w:ascii="Arial" w:cs="Arial" w:eastAsia="Arial" w:hAnsi="Arial"/>
                <w:b/>
                <w:bCs/>
                <w:color w:val="2E75B6"/>
                <w:sz w:val="18"/>
                <w:szCs w:val="18"/>
              </w:rPr>
              <w:t xml:space="preserve">energy_kWh_total</w:t>
            </w:r>
          </w:p>
        </w:tc>
        <w:tc>
          <w:tcPr>
            <w:tcW w:type="dxa" w:w="10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float</w:t>
            </w:r>
          </w:p>
        </w:tc>
        <w:tc>
          <w:tcPr>
            <w:tcW w:type="dxa" w:w="4200"/>
            <w:shd w:color="F2F2F2" w:val="solid"/>
            <w:tcMar>
              <w:top w:type="dxa" w:w="80"/>
              <w:left w:type="dxa" w:w="100"/>
              <w:bottom w:type="dxa" w:w="80"/>
              <w:right w:type="dxa" w:w="100"/>
            </w:tcMar>
            <w:vAlign w:val="top"/>
          </w:tcPr>
          <w:p>
            <w:r>
              <w:rPr>
                <w:rFonts w:ascii="Arial" w:cs="Arial" w:eastAsia="Arial" w:hAnsi="Arial"/>
                <w:b w:val="false"/>
                <w:bCs w:val="false"/>
                <w:color w:val="000000"/>
                <w:sz w:val="18"/>
                <w:szCs w:val="18"/>
              </w:rPr>
              <w:t xml:space="preserve">Energía activa acumulada en kWh desde el inicio del año para este medidor. Siempre creciente (monotónica). Primera lectura = 0. Calculada como suma acumulada de power_kW × 0,25h por intervalo.</w:t>
            </w:r>
          </w:p>
        </w:tc>
        <w:tc>
          <w:tcPr>
            <w:tcW w:type="dxa" w:w="2200"/>
            <w:shd w:color="F2F2F2" w:val="solid"/>
            <w:tcMar>
              <w:top w:type="dxa" w:w="80"/>
              <w:left w:type="dxa" w:w="100"/>
              <w:bottom w:type="dxa" w:w="80"/>
              <w:right w:type="dxa" w:w="100"/>
            </w:tcMar>
            <w:vAlign w:val="top"/>
          </w:tcPr>
          <w:p>
            <w:r>
              <w:rPr>
                <w:rFonts w:ascii="Arial" w:cs="Arial" w:eastAsia="Arial" w:hAnsi="Arial"/>
                <w:b w:val="false"/>
                <w:bCs w:val="false"/>
                <w:color w:val="595959"/>
                <w:sz w:val="18"/>
                <w:szCs w:val="18"/>
              </w:rPr>
              <w:t xml:space="preserve">0,0000 / 1.245,3820</w:t>
            </w:r>
          </w:p>
        </w:tc>
      </w:tr>
    </w:tbl>
    <w:p>
      <w:r>
        <w:br w:type="page"/>
      </w:r>
    </w:p>
    <w:p>
      <w:pPr>
        <w:pStyle w:val="Heading1"/>
        <w:shd w:color="1F3864" w:val="solid"/>
        <w:spacing w:before="320" w:after="200"/>
        <w:ind w:left="200"/>
      </w:pPr>
      <w:r>
        <w:rPr>
          <w:rFonts w:ascii="Arial" w:cs="Arial" w:eastAsia="Arial" w:hAnsi="Arial"/>
          <w:b/>
          <w:bCs/>
          <w:color w:val="FFFFFF"/>
          <w:sz w:val="36"/>
          <w:szCs w:val="36"/>
        </w:rPr>
        <w:t xml:space="preserve">5. Perfil de Consumo y Lógica de Simulación</w:t>
      </w:r>
    </w:p>
    <w:p>
      <w:pPr>
        <w:pStyle w:val="Heading2"/>
        <w:shd w:color="2E75B6" w:val="solid"/>
        <w:spacing w:before="280" w:after="160"/>
        <w:ind w:left="160"/>
      </w:pPr>
      <w:r>
        <w:rPr>
          <w:rFonts w:ascii="Arial" w:cs="Arial" w:eastAsia="Arial" w:hAnsi="Arial"/>
          <w:b/>
          <w:bCs/>
          <w:color w:val="FFFFFF"/>
          <w:sz w:val="28"/>
          <w:szCs w:val="28"/>
        </w:rPr>
        <w:t xml:space="preserve">5.1 Perfil Diario (Intradiario)</w:t>
      </w:r>
    </w:p>
    <w:p>
      <w:pPr>
        <w:spacing w:before="80" w:after="80"/>
        <w:jc w:val="both"/>
      </w:pPr>
      <w:r>
        <w:rPr>
          <w:rFonts w:ascii="Arial" w:cs="Arial" w:eastAsia="Arial" w:hAnsi="Arial"/>
          <w:b w:val="false"/>
          <w:bCs w:val="false"/>
          <w:i w:val="false"/>
          <w:iCs w:val="false"/>
          <w:color w:val="000000"/>
          <w:sz w:val="22"/>
          <w:szCs w:val="22"/>
        </w:rPr>
        <w:t xml:space="preserve">El consumo de cada medidor sigue un perfil horario que simula el comportamiento real de un centro comercial chileno. El perfil es determinista en su forma base, con ruido gaussiano superpuesto para dar realismo.</w:t>
      </w:r>
    </w:p>
    <w:p>
      <w:pPr>
        <w:spacing w:before="60" w:after="60"/>
      </w:pPr>
      <w:r>
        <w:rPr>
          <w:rFonts w:ascii="Arial" w:cs="Arial" w:eastAsia="Arial" w:hAnsi="Arial"/>
          <w:b w:val="false"/>
          <w:bCs w:val="false"/>
          <w:i w:val="false"/>
          <w:iCs w:val="false"/>
          <w:color w:val="000000"/>
          <w:sz w:val="22"/>
          <w:szCs w:val="22"/>
        </w:rPr>
        <w:t xml:space="preserve"/>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20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Rango Horario</w:t>
            </w:r>
          </w:p>
        </w:tc>
        <w:tc>
          <w:tcPr>
            <w:tcW w:type="dxa" w:w="15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Factor Base</w:t>
            </w:r>
          </w:p>
        </w:tc>
        <w:tc>
          <w:tcPr>
            <w:tcW w:type="dxa" w:w="5700"/>
            <w:shd w:color="1F3864" w:val="solid"/>
            <w:tcMar>
              <w:top w:type="dxa" w:w="80"/>
              <w:left w:type="dxa" w:w="100"/>
              <w:bottom w:type="dxa" w:w="80"/>
              <w:right w:type="dxa" w:w="100"/>
            </w:tcMar>
          </w:tcPr>
          <w:p>
            <w:pPr>
              <w:jc w:val="center"/>
            </w:pPr>
            <w:r>
              <w:rPr>
                <w:rFonts w:ascii="Arial" w:cs="Arial" w:eastAsia="Arial" w:hAnsi="Arial"/>
                <w:b/>
                <w:bCs/>
                <w:color w:val="FFFFFF"/>
                <w:sz w:val="18"/>
                <w:szCs w:val="18"/>
              </w:rPr>
              <w:t xml:space="preserve">Descripción del Comportamiento</w:t>
            </w:r>
          </w:p>
        </w:tc>
      </w:tr>
      <w:tr>
        <w:tc>
          <w:tcPr>
            <w:tcW w:type="dxa" w:w="2000"/>
            <w:shd w:color="F2F2F2" w:val="solid"/>
            <w:tcMar>
              <w:top w:type="dxa" w:w="60"/>
              <w:left w:type="dxa" w:w="100"/>
              <w:bottom w:type="dxa" w:w="60"/>
              <w:right w:type="dxa" w:w="100"/>
            </w:tcMar>
          </w:tcPr>
          <w:p>
            <w:r>
              <w:rPr>
                <w:rFonts w:ascii="Arial" w:cs="Arial" w:eastAsia="Arial" w:hAnsi="Arial"/>
                <w:b/>
                <w:bCs/>
                <w:sz w:val="18"/>
                <w:szCs w:val="18"/>
              </w:rPr>
              <w:t xml:space="preserve">00:00 – 06:00</w:t>
            </w:r>
          </w:p>
        </w:tc>
        <w:tc>
          <w:tcPr>
            <w:tcW w:type="dxa" w:w="1500"/>
            <w:shd w:color="F2F2F2" w:val="solid"/>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5700"/>
            <w:shd w:color="F2F2F2" w:val="solid"/>
            <w:tcMar>
              <w:top w:type="dxa" w:w="60"/>
              <w:left w:type="dxa" w:w="100"/>
              <w:bottom w:type="dxa" w:w="60"/>
              <w:right w:type="dxa" w:w="100"/>
            </w:tcMar>
          </w:tcPr>
          <w:p>
            <w:r>
              <w:rPr>
                <w:rFonts w:ascii="Arial" w:cs="Arial" w:eastAsia="Arial" w:hAnsi="Arial"/>
                <w:sz w:val="18"/>
                <w:szCs w:val="18"/>
              </w:rPr>
              <w:t xml:space="preserve">Madrugada. Solo consumo base: iluminación de emergencia, SSCC mínimo.</w:t>
            </w:r>
          </w:p>
        </w:tc>
      </w:tr>
      <w:tr>
        <w:tc>
          <w:tcPr>
            <w:tcW w:type="dxa" w:w="2000"/>
            <w:shd w:color="FFFFFF" w:val="solid"/>
            <w:tcMar>
              <w:top w:type="dxa" w:w="60"/>
              <w:left w:type="dxa" w:w="100"/>
              <w:bottom w:type="dxa" w:w="60"/>
              <w:right w:type="dxa" w:w="100"/>
            </w:tcMar>
          </w:tcPr>
          <w:p>
            <w:r>
              <w:rPr>
                <w:rFonts w:ascii="Arial" w:cs="Arial" w:eastAsia="Arial" w:hAnsi="Arial"/>
                <w:b/>
                <w:bCs/>
                <w:sz w:val="18"/>
                <w:szCs w:val="18"/>
              </w:rPr>
              <w:t xml:space="preserve">06:00 – 09:00</w:t>
            </w:r>
          </w:p>
        </w:tc>
        <w:tc>
          <w:tcPr>
            <w:tcW w:type="dxa" w:w="1500"/>
            <w:shd w:color="FFFFFF" w:val="solid"/>
            <w:tcMar>
              <w:top w:type="dxa" w:w="60"/>
              <w:left w:type="dxa" w:w="100"/>
              <w:bottom w:type="dxa" w:w="60"/>
              <w:right w:type="dxa" w:w="100"/>
            </w:tcMar>
          </w:tcPr>
          <w:p>
            <w:pPr>
              <w:jc w:val="center"/>
            </w:pPr>
            <w:r>
              <w:rPr>
                <w:rFonts w:ascii="Arial" w:cs="Arial" w:eastAsia="Arial" w:hAnsi="Arial"/>
                <w:b w:val="false"/>
                <w:bCs w:val="false"/>
                <w:sz w:val="18"/>
                <w:szCs w:val="18"/>
              </w:rPr>
              <w:t xml:space="preserve">10% → 70%</w:t>
            </w:r>
          </w:p>
        </w:tc>
        <w:tc>
          <w:tcPr>
            <w:tcW w:type="dxa" w:w="5700"/>
            <w:shd w:color="FFFFFF" w:val="solid"/>
            <w:tcMar>
              <w:top w:type="dxa" w:w="60"/>
              <w:left w:type="dxa" w:w="100"/>
              <w:bottom w:type="dxa" w:w="60"/>
              <w:right w:type="dxa" w:w="100"/>
            </w:tcMar>
          </w:tcPr>
          <w:p>
            <w:r>
              <w:rPr>
                <w:rFonts w:ascii="Arial" w:cs="Arial" w:eastAsia="Arial" w:hAnsi="Arial"/>
                <w:sz w:val="18"/>
                <w:szCs w:val="18"/>
              </w:rPr>
              <w:t xml:space="preserve">Apertura gradual. Encendido de iluminación, climatización, preparación de tiendas.</w:t>
            </w:r>
          </w:p>
        </w:tc>
      </w:tr>
      <w:tr>
        <w:tc>
          <w:tcPr>
            <w:tcW w:type="dxa" w:w="2000"/>
            <w:shd w:color="F2F2F2" w:val="solid"/>
            <w:tcMar>
              <w:top w:type="dxa" w:w="60"/>
              <w:left w:type="dxa" w:w="100"/>
              <w:bottom w:type="dxa" w:w="60"/>
              <w:right w:type="dxa" w:w="100"/>
            </w:tcMar>
          </w:tcPr>
          <w:p>
            <w:r>
              <w:rPr>
                <w:rFonts w:ascii="Arial" w:cs="Arial" w:eastAsia="Arial" w:hAnsi="Arial"/>
                <w:b/>
                <w:bCs/>
                <w:sz w:val="18"/>
                <w:szCs w:val="18"/>
              </w:rPr>
              <w:t xml:space="preserve">09:00 – 13:00</w:t>
            </w:r>
          </w:p>
        </w:tc>
        <w:tc>
          <w:tcPr>
            <w:tcW w:type="dxa" w:w="1500"/>
            <w:shd w:color="F2F2F2" w:val="solid"/>
            <w:tcMar>
              <w:top w:type="dxa" w:w="60"/>
              <w:left w:type="dxa" w:w="100"/>
              <w:bottom w:type="dxa" w:w="60"/>
              <w:right w:type="dxa" w:w="100"/>
            </w:tcMar>
          </w:tcPr>
          <w:p>
            <w:pPr>
              <w:jc w:val="center"/>
            </w:pPr>
            <w:r>
              <w:rPr>
                <w:rFonts w:ascii="Arial" w:cs="Arial" w:eastAsia="Arial" w:hAnsi="Arial"/>
                <w:b w:val="false"/>
                <w:bCs w:val="false"/>
                <w:sz w:val="18"/>
                <w:szCs w:val="18"/>
              </w:rPr>
              <w:t xml:space="preserve">70%</w:t>
            </w:r>
          </w:p>
        </w:tc>
        <w:tc>
          <w:tcPr>
            <w:tcW w:type="dxa" w:w="5700"/>
            <w:shd w:color="F2F2F2" w:val="solid"/>
            <w:tcMar>
              <w:top w:type="dxa" w:w="60"/>
              <w:left w:type="dxa" w:w="100"/>
              <w:bottom w:type="dxa" w:w="60"/>
              <w:right w:type="dxa" w:w="100"/>
            </w:tcMar>
          </w:tcPr>
          <w:p>
            <w:r>
              <w:rPr>
                <w:rFonts w:ascii="Arial" w:cs="Arial" w:eastAsia="Arial" w:hAnsi="Arial"/>
                <w:sz w:val="18"/>
                <w:szCs w:val="18"/>
              </w:rPr>
              <w:t xml:space="preserve">Mañana de pleno funcionamiento. Tiendas abiertas, alta actividad.</w:t>
            </w:r>
          </w:p>
        </w:tc>
      </w:tr>
      <w:tr>
        <w:tc>
          <w:tcPr>
            <w:tcW w:type="dxa" w:w="2000"/>
            <w:shd w:color="FFFFFF" w:val="solid"/>
            <w:tcMar>
              <w:top w:type="dxa" w:w="60"/>
              <w:left w:type="dxa" w:w="100"/>
              <w:bottom w:type="dxa" w:w="60"/>
              <w:right w:type="dxa" w:w="100"/>
            </w:tcMar>
          </w:tcPr>
          <w:p>
            <w:r>
              <w:rPr>
                <w:rFonts w:ascii="Arial" w:cs="Arial" w:eastAsia="Arial" w:hAnsi="Arial"/>
                <w:b/>
                <w:bCs/>
                <w:sz w:val="18"/>
                <w:szCs w:val="18"/>
              </w:rPr>
              <w:t xml:space="preserve">13:00 – 15:00</w:t>
            </w:r>
          </w:p>
        </w:tc>
        <w:tc>
          <w:tcPr>
            <w:tcW w:type="dxa" w:w="1500"/>
            <w:shd w:color="FFFFFF" w:val="solid"/>
            <w:tcMar>
              <w:top w:type="dxa" w:w="60"/>
              <w:left w:type="dxa" w:w="100"/>
              <w:bottom w:type="dxa" w:w="60"/>
              <w:right w:type="dxa" w:w="100"/>
            </w:tcMar>
          </w:tcPr>
          <w:p>
            <w:pPr>
              <w:jc w:val="center"/>
            </w:pPr>
            <w:r>
              <w:rPr>
                <w:rFonts w:ascii="Arial" w:cs="Arial" w:eastAsia="Arial" w:hAnsi="Arial"/>
                <w:b/>
                <w:bCs/>
                <w:sz w:val="18"/>
                <w:szCs w:val="18"/>
              </w:rPr>
              <w:t xml:space="preserve">50%</w:t>
            </w:r>
          </w:p>
        </w:tc>
        <w:tc>
          <w:tcPr>
            <w:tcW w:type="dxa" w:w="5700"/>
            <w:shd w:color="FFFFFF" w:val="solid"/>
            <w:tcMar>
              <w:top w:type="dxa" w:w="60"/>
              <w:left w:type="dxa" w:w="100"/>
              <w:bottom w:type="dxa" w:w="60"/>
              <w:right w:type="dxa" w:w="100"/>
            </w:tcMar>
          </w:tcPr>
          <w:p>
            <w:r>
              <w:rPr>
                <w:rFonts w:ascii="Arial" w:cs="Arial" w:eastAsia="Arial" w:hAnsi="Arial"/>
                <w:sz w:val="18"/>
                <w:szCs w:val="18"/>
              </w:rPr>
              <w:t xml:space="preserve">Caída de mediodía. Menor afluencia, horario de almuerzo.</w:t>
            </w:r>
          </w:p>
        </w:tc>
      </w:tr>
      <w:tr>
        <w:tc>
          <w:tcPr>
            <w:tcW w:type="dxa" w:w="2000"/>
            <w:shd w:color="F2F2F2" w:val="solid"/>
            <w:tcMar>
              <w:top w:type="dxa" w:w="60"/>
              <w:left w:type="dxa" w:w="100"/>
              <w:bottom w:type="dxa" w:w="60"/>
              <w:right w:type="dxa" w:w="100"/>
            </w:tcMar>
          </w:tcPr>
          <w:p>
            <w:r>
              <w:rPr>
                <w:rFonts w:ascii="Arial" w:cs="Arial" w:eastAsia="Arial" w:hAnsi="Arial"/>
                <w:b/>
                <w:bCs/>
                <w:sz w:val="18"/>
                <w:szCs w:val="18"/>
              </w:rPr>
              <w:t xml:space="preserve">15:00 – 19:00</w:t>
            </w:r>
          </w:p>
        </w:tc>
        <w:tc>
          <w:tcPr>
            <w:tcW w:type="dxa" w:w="1500"/>
            <w:shd w:color="F2F2F2" w:val="solid"/>
            <w:tcMar>
              <w:top w:type="dxa" w:w="60"/>
              <w:left w:type="dxa" w:w="100"/>
              <w:bottom w:type="dxa" w:w="60"/>
              <w:right w:type="dxa" w:w="100"/>
            </w:tcMar>
          </w:tcPr>
          <w:p>
            <w:pPr>
              <w:jc w:val="center"/>
            </w:pPr>
            <w:r>
              <w:rPr>
                <w:rFonts w:ascii="Arial" w:cs="Arial" w:eastAsia="Arial" w:hAnsi="Arial"/>
                <w:b/>
                <w:bCs/>
                <w:sz w:val="18"/>
                <w:szCs w:val="18"/>
              </w:rPr>
              <w:t xml:space="preserve">75%</w:t>
            </w:r>
          </w:p>
        </w:tc>
        <w:tc>
          <w:tcPr>
            <w:tcW w:type="dxa" w:w="5700"/>
            <w:shd w:color="F2F2F2" w:val="solid"/>
            <w:tcMar>
              <w:top w:type="dxa" w:w="60"/>
              <w:left w:type="dxa" w:w="100"/>
              <w:bottom w:type="dxa" w:w="60"/>
              <w:right w:type="dxa" w:w="100"/>
            </w:tcMar>
          </w:tcPr>
          <w:p>
            <w:r>
              <w:rPr>
                <w:rFonts w:ascii="Arial" w:cs="Arial" w:eastAsia="Arial" w:hAnsi="Arial"/>
                <w:sz w:val="18"/>
                <w:szCs w:val="18"/>
              </w:rPr>
              <w:t xml:space="preserve">Peak de la tarde. Mayor afluencia del día, máximo consumo.</w:t>
            </w:r>
          </w:p>
        </w:tc>
      </w:tr>
      <w:tr>
        <w:tc>
          <w:tcPr>
            <w:tcW w:type="dxa" w:w="2000"/>
            <w:shd w:color="FFFFFF" w:val="solid"/>
            <w:tcMar>
              <w:top w:type="dxa" w:w="60"/>
              <w:left w:type="dxa" w:w="100"/>
              <w:bottom w:type="dxa" w:w="60"/>
              <w:right w:type="dxa" w:w="100"/>
            </w:tcMar>
          </w:tcPr>
          <w:p>
            <w:r>
              <w:rPr>
                <w:rFonts w:ascii="Arial" w:cs="Arial" w:eastAsia="Arial" w:hAnsi="Arial"/>
                <w:b/>
                <w:bCs/>
                <w:sz w:val="18"/>
                <w:szCs w:val="18"/>
              </w:rPr>
              <w:t xml:space="preserve">19:00 – 22:00</w:t>
            </w:r>
          </w:p>
        </w:tc>
        <w:tc>
          <w:tcPr>
            <w:tcW w:type="dxa" w:w="1500"/>
            <w:shd w:color="FFFFFF" w:val="solid"/>
            <w:tcMar>
              <w:top w:type="dxa" w:w="60"/>
              <w:left w:type="dxa" w:w="100"/>
              <w:bottom w:type="dxa" w:w="60"/>
              <w:right w:type="dxa" w:w="100"/>
            </w:tcMar>
          </w:tcPr>
          <w:p>
            <w:pPr>
              <w:jc w:val="center"/>
            </w:pPr>
            <w:r>
              <w:rPr>
                <w:rFonts w:ascii="Arial" w:cs="Arial" w:eastAsia="Arial" w:hAnsi="Arial"/>
                <w:b w:val="false"/>
                <w:bCs w:val="false"/>
                <w:sz w:val="18"/>
                <w:szCs w:val="18"/>
              </w:rPr>
              <w:t xml:space="preserve">75% → 10%</w:t>
            </w:r>
          </w:p>
        </w:tc>
        <w:tc>
          <w:tcPr>
            <w:tcW w:type="dxa" w:w="5700"/>
            <w:shd w:color="FFFFFF" w:val="solid"/>
            <w:tcMar>
              <w:top w:type="dxa" w:w="60"/>
              <w:left w:type="dxa" w:w="100"/>
              <w:bottom w:type="dxa" w:w="60"/>
              <w:right w:type="dxa" w:w="100"/>
            </w:tcMar>
          </w:tcPr>
          <w:p>
            <w:r>
              <w:rPr>
                <w:rFonts w:ascii="Arial" w:cs="Arial" w:eastAsia="Arial" w:hAnsi="Arial"/>
                <w:sz w:val="18"/>
                <w:szCs w:val="18"/>
              </w:rPr>
              <w:t xml:space="preserve">Cierre gradual. Disminución de tiendas activas.</w:t>
            </w:r>
          </w:p>
        </w:tc>
      </w:tr>
      <w:tr>
        <w:tc>
          <w:tcPr>
            <w:tcW w:type="dxa" w:w="2000"/>
            <w:shd w:color="F2F2F2" w:val="solid"/>
            <w:tcMar>
              <w:top w:type="dxa" w:w="60"/>
              <w:left w:type="dxa" w:w="100"/>
              <w:bottom w:type="dxa" w:w="60"/>
              <w:right w:type="dxa" w:w="100"/>
            </w:tcMar>
          </w:tcPr>
          <w:p>
            <w:r>
              <w:rPr>
                <w:rFonts w:ascii="Arial" w:cs="Arial" w:eastAsia="Arial" w:hAnsi="Arial"/>
                <w:b/>
                <w:bCs/>
                <w:sz w:val="18"/>
                <w:szCs w:val="18"/>
              </w:rPr>
              <w:t xml:space="preserve">22:00 – 00:00</w:t>
            </w:r>
          </w:p>
        </w:tc>
        <w:tc>
          <w:tcPr>
            <w:tcW w:type="dxa" w:w="1500"/>
            <w:shd w:color="F2F2F2" w:val="solid"/>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5700"/>
            <w:shd w:color="F2F2F2" w:val="solid"/>
            <w:tcMar>
              <w:top w:type="dxa" w:w="60"/>
              <w:left w:type="dxa" w:w="100"/>
              <w:bottom w:type="dxa" w:w="60"/>
              <w:right w:type="dxa" w:w="100"/>
            </w:tcMar>
          </w:tcPr>
          <w:p>
            <w:r>
              <w:rPr>
                <w:rFonts w:ascii="Arial" w:cs="Arial" w:eastAsia="Arial" w:hAnsi="Arial"/>
                <w:sz w:val="18"/>
                <w:szCs w:val="18"/>
              </w:rPr>
              <w:t xml:space="preserve">Noche. Solo consumo base residual.</w:t>
            </w:r>
          </w:p>
        </w:tc>
      </w:tr>
    </w:tbl>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5.2 Factor Mensual Estacional</w:t>
      </w:r>
    </w:p>
    <w:p>
      <w:pPr>
        <w:spacing w:before="80" w:after="80"/>
        <w:jc w:val="both"/>
      </w:pPr>
      <w:r>
        <w:rPr>
          <w:rFonts w:ascii="Arial" w:cs="Arial" w:eastAsia="Arial" w:hAnsi="Arial"/>
          <w:b w:val="false"/>
          <w:bCs w:val="false"/>
          <w:i w:val="false"/>
          <w:iCs w:val="false"/>
          <w:color w:val="000000"/>
          <w:sz w:val="22"/>
          <w:szCs w:val="22"/>
        </w:rPr>
        <w:t xml:space="preserve">El perfil diario base se multiplica por un factor mensual derivado del consumo histórico real de Parque Arauco. El factor 1,0 representa el promedio mensual del año. Diciembre tiene el factor más alto (1,295) y Abril el más bajo (0,865).</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5.3 Ruido Estadístico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Perfil diario: ruido gaussiano σ = 0,03 sobre el factor base para variabilidad realista entre días.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Voltaje: ruido gaussiano σ = 1,5V sobre 230V nominal.</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Factor de potencia: distribución normal μ = 0,920, σ = 0,012, recortado entre 0,80 y 0,99.</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Frecuencia: distribución normal μ = 50,0 Hz, σ = 0,025 Hz.</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Corrientes L2 y L3: pequeño ruido adicional σ = 0,02A sobre L1 para simular desequilibrio de fases.</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5.4 Garantía de Monotonía de Energía</w:t>
      </w:r>
    </w:p>
    <w:p>
      <w:pPr>
        <w:spacing w:before="80" w:after="80"/>
        <w:jc w:val="both"/>
      </w:pPr>
      <w:r>
        <w:rPr>
          <w:rFonts w:ascii="Arial" w:cs="Arial" w:eastAsia="Arial" w:hAnsi="Arial"/>
          <w:b w:val="false"/>
          <w:bCs w:val="false"/>
          <w:i w:val="false"/>
          <w:iCs w:val="false"/>
          <w:color w:val="000000"/>
          <w:sz w:val="22"/>
          <w:szCs w:val="22"/>
        </w:rPr>
        <w:t xml:space="preserve">El campo energy_kWh_total es siempre creciente o constante — nunca disminuye. Se calcula como suma acumulada: Σ(power_kW × 0,25h). La potencia tiene un mínimo de 0,001 kW para garantizar que nunca haya energía negativa.</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5.5 Calibración del Consumo Anual</w:t>
      </w:r>
    </w:p>
    <w:p>
      <w:pPr>
        <w:spacing w:before="80" w:after="80"/>
        <w:jc w:val="both"/>
      </w:pPr>
      <w:r>
        <w:rPr>
          <w:rFonts w:ascii="Arial" w:cs="Arial" w:eastAsia="Arial" w:hAnsi="Arial"/>
          <w:b w:val="false"/>
          <w:bCs w:val="false"/>
          <w:i w:val="false"/>
          <w:iCs w:val="false"/>
          <w:color w:val="000000"/>
          <w:sz w:val="22"/>
          <w:szCs w:val="22"/>
        </w:rPr>
        <w:t xml:space="preserve">El kW base de cada medidor se calibra automáticamente para que la integral anual coincida con el MWh objetivo asignado según el porcentaje del Excel de consumos. La desviación observada entre objetivo y simulado es menor al 0,02% anual.</w:t>
      </w:r>
    </w:p>
    <w:p>
      <w:pPr>
        <w:pStyle w:val="Heading1"/>
        <w:shd w:color="1F3864" w:val="solid"/>
        <w:spacing w:before="320" w:after="200"/>
        <w:ind w:left="200"/>
      </w:pPr>
      <w:r>
        <w:rPr>
          <w:rFonts w:ascii="Arial" w:cs="Arial" w:eastAsia="Arial" w:hAnsi="Arial"/>
          <w:b/>
          <w:bCs/>
          <w:color w:val="FFFFFF"/>
          <w:sz w:val="36"/>
          <w:szCs w:val="36"/>
        </w:rPr>
        <w:t xml:space="preserve">6. Formato Técnico del Archivo CSV</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Separador de columnas: punto y coma (;)</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Separador decimal: coma (,) — compatible con Excel en español/europeo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Codificación: UTF-8 con BOM (Byte Order Mark) — garantiza compatibilidad con Excel en Windows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Primera fila: cabecera con los nombres de las 21 columnas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Sin comillas en valores numéricos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Celdas vacías: campo vacío entre dos punto y coma (;;) para L2, L3 en medidores monofásicos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Precisión decimal: 4 decimales para valores de potencia y energía, 2 para voltajes, 3 para corrientes</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6.1 Cómo Leer el Archivo en Python</w:t>
      </w:r>
    </w:p>
    <w:p>
      <w:pPr>
        <w:shd w:color="1E1E1E" w:val="solid"/>
        <w:spacing w:before="100" w:after="100"/>
        <w:ind w:left="300" w:right="300"/>
      </w:pPr>
      <w:r>
        <w:rPr>
          <w:rFonts w:ascii="Courier New" w:cs="Courier New" w:eastAsia="Courier New" w:hAnsi="Courier New"/>
          <w:color w:val="4EC9B0"/>
          <w:sz w:val="18"/>
          <w:szCs w:val="18"/>
        </w:rPr>
        <w:t xml:space="preserve">import pandas as pd</w:t>
      </w:r>
    </w:p>
    <w:p>
      <w:pPr>
        <w:shd w:color="1E1E1E" w:val="solid"/>
        <w:ind w:left="300" w:right="300"/>
      </w:pPr>
      <w:r>
        <w:rPr>
          <w:rFonts w:ascii="Courier New" w:cs="Courier New" w:eastAsia="Courier New" w:hAnsi="Courier New"/>
          <w:color w:val="D4D4D4"/>
          <w:sz w:val="18"/>
          <w:szCs w:val="18"/>
        </w:rPr>
        <w:t xml:space="preserve">df = pd.read_csv('archivo.csv',</w:t>
      </w:r>
    </w:p>
    <w:p>
      <w:pPr>
        <w:shd w:color="1E1E1E" w:val="solid"/>
        <w:ind w:left="300" w:right="300"/>
      </w:pPr>
      <w:r>
        <w:rPr>
          <w:rFonts w:ascii="Courier New" w:cs="Courier New" w:eastAsia="Courier New" w:hAnsi="Courier New"/>
          <w:color w:val="D4D4D4"/>
          <w:sz w:val="18"/>
          <w:szCs w:val="18"/>
        </w:rPr>
        <w:t xml:space="preserve">           sep=';', decimal=',', encoding='utf-8-sig',</w:t>
      </w:r>
    </w:p>
    <w:p>
      <w:pPr>
        <w:shd w:color="1E1E1E" w:val="solid"/>
        <w:spacing w:before="0" w:after="100"/>
        <w:ind w:left="300" w:right="300"/>
      </w:pPr>
      <w:r>
        <w:rPr>
          <w:rFonts w:ascii="Courier New" w:cs="Courier New" w:eastAsia="Courier New" w:hAnsi="Courier New"/>
          <w:color w:val="D4D4D4"/>
          <w:sz w:val="18"/>
          <w:szCs w:val="18"/>
        </w:rPr>
        <w:t xml:space="preserve">           parse_dates=['timestamp'])</w:t>
      </w:r>
    </w:p>
    <w:p>
      <w:r>
        <w:br w:type="page"/>
      </w:r>
    </w:p>
    <w:p>
      <w:pPr>
        <w:pStyle w:val="Heading1"/>
        <w:shd w:color="1F3864" w:val="solid"/>
        <w:spacing w:before="320" w:after="200"/>
        <w:ind w:left="200"/>
      </w:pPr>
      <w:r>
        <w:rPr>
          <w:rFonts w:ascii="Arial" w:cs="Arial" w:eastAsia="Arial" w:hAnsi="Arial"/>
          <w:b/>
          <w:bCs/>
          <w:color w:val="FFFFFF"/>
          <w:sz w:val="36"/>
          <w:szCs w:val="36"/>
        </w:rPr>
        <w:t xml:space="preserve">7. Relaciones entre Campos y Consultas Típicas</w:t>
      </w:r>
    </w:p>
    <w:p>
      <w:pPr>
        <w:pStyle w:val="Heading2"/>
        <w:shd w:color="2E75B6" w:val="solid"/>
        <w:spacing w:before="280" w:after="160"/>
        <w:ind w:left="160"/>
      </w:pPr>
      <w:r>
        <w:rPr>
          <w:rFonts w:ascii="Arial" w:cs="Arial" w:eastAsia="Arial" w:hAnsi="Arial"/>
          <w:b/>
          <w:bCs/>
          <w:color w:val="FFFFFF"/>
          <w:sz w:val="28"/>
          <w:szCs w:val="28"/>
        </w:rPr>
        <w:t xml:space="preserve">7.1 Relaciones Clave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meter_id + timestamp → identifica de forma única cualquier fila de la base de datos.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center_name + center_type → agrupa todos los medidores de una locación.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store_type = 'SSCC' → el medidor que representa los Servicios Comunes del centro (≈15% del consumo total del centro).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model = 'PAC1670' ↔ phase_type = '3P' (siempre coherentes entre sí).</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model = 'PAC1651' ↔ phase_type = '1P' (siempre coherentes entre sí).</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uplink_route contiene el concentrador → permite identificar qué dispositivo físico recolectó el dato.</w:t>
      </w:r>
    </w:p>
    <w:p>
      <w:pPr>
        <w:spacing w:before="60" w:after="60"/>
      </w:pPr>
      <w:r>
        <w:rPr>
          <w:rFonts w:ascii="Arial" w:cs="Arial" w:eastAsia="Arial" w:hAnsi="Arial"/>
          <w:b w:val="false"/>
          <w:bCs w:val="false"/>
          <w:i w:val="false"/>
          <w:iCs w:val="false"/>
          <w:color w:val="000000"/>
          <w:sz w:val="22"/>
          <w:szCs w:val="22"/>
        </w:rPr>
        <w:t xml:space="preserve"/>
      </w:r>
    </w:p>
    <w:p>
      <w:pPr>
        <w:pStyle w:val="Heading2"/>
        <w:shd w:color="2E75B6" w:val="solid"/>
        <w:spacing w:before="280" w:after="160"/>
        <w:ind w:left="160"/>
      </w:pPr>
      <w:r>
        <w:rPr>
          <w:rFonts w:ascii="Arial" w:cs="Arial" w:eastAsia="Arial" w:hAnsi="Arial"/>
          <w:b/>
          <w:bCs/>
          <w:color w:val="FFFFFF"/>
          <w:sz w:val="28"/>
          <w:szCs w:val="28"/>
        </w:rPr>
        <w:t xml:space="preserve">7.2 Consultas Típicas</w:t>
      </w:r>
    </w:p>
    <w:p>
      <w:pPr>
        <w:pStyle w:val="Heading3"/>
        <w:pBdr>
          <w:bottom w:val="single" w:color="2E75B6" w:sz="6"/>
        </w:pBdr>
        <w:spacing w:before="200" w:after="100"/>
      </w:pPr>
      <w:r>
        <w:rPr>
          <w:rFonts w:ascii="Arial" w:cs="Arial" w:eastAsia="Arial" w:hAnsi="Arial"/>
          <w:b/>
          <w:bCs/>
          <w:color w:val="1F3864"/>
          <w:sz w:val="24"/>
          <w:szCs w:val="24"/>
        </w:rPr>
        <w:t xml:space="preserve">Consumo total anual de un centro</w:t>
      </w:r>
    </w:p>
    <w:p>
      <w:pPr>
        <w:shd w:color="1E1E1E" w:val="solid"/>
        <w:spacing w:before="80" w:after="80"/>
        <w:ind w:left="300" w:right="300"/>
      </w:pPr>
      <w:r>
        <w:rPr>
          <w:rFonts w:ascii="Courier New" w:cs="Courier New" w:eastAsia="Courier New" w:hAnsi="Courier New"/>
          <w:color w:val="4EC9B0"/>
          <w:sz w:val="18"/>
          <w:szCs w:val="18"/>
        </w:rPr>
        <w:t xml:space="preserve">df[df['center_name']=='Parque Arauco Kennedy']['power_kW'].sum() * 0.25 / 1000</w:t>
      </w:r>
    </w:p>
    <w:p>
      <w:pPr>
        <w:pStyle w:val="Heading3"/>
        <w:pBdr>
          <w:bottom w:val="single" w:color="2E75B6" w:sz="6"/>
        </w:pBdr>
        <w:spacing w:before="200" w:after="100"/>
      </w:pPr>
      <w:r>
        <w:rPr>
          <w:rFonts w:ascii="Arial" w:cs="Arial" w:eastAsia="Arial" w:hAnsi="Arial"/>
          <w:b/>
          <w:bCs/>
          <w:color w:val="1F3864"/>
          <w:sz w:val="24"/>
          <w:szCs w:val="24"/>
        </w:rPr>
        <w:t xml:space="preserve">Consumo por hora del día (perfil promedio)</w:t>
      </w:r>
    </w:p>
    <w:p>
      <w:pPr>
        <w:shd w:color="1E1E1E" w:val="solid"/>
        <w:spacing w:before="80" w:after="80"/>
        <w:ind w:left="300" w:right="300"/>
      </w:pPr>
      <w:r>
        <w:rPr>
          <w:rFonts w:ascii="Courier New" w:cs="Courier New" w:eastAsia="Courier New" w:hAnsi="Courier New"/>
          <w:color w:val="4EC9B0"/>
          <w:sz w:val="18"/>
          <w:szCs w:val="18"/>
        </w:rPr>
        <w:t xml:space="preserve">df.groupby(df['timestamp'].dt.hour)['power_kW'].mean()</w:t>
      </w:r>
    </w:p>
    <w:p>
      <w:pPr>
        <w:pStyle w:val="Heading3"/>
        <w:pBdr>
          <w:bottom w:val="single" w:color="2E75B6" w:sz="6"/>
        </w:pBdr>
        <w:spacing w:before="200" w:after="100"/>
      </w:pPr>
      <w:r>
        <w:rPr>
          <w:rFonts w:ascii="Arial" w:cs="Arial" w:eastAsia="Arial" w:hAnsi="Arial"/>
          <w:b/>
          <w:bCs/>
          <w:color w:val="1F3864"/>
          <w:sz w:val="24"/>
          <w:szCs w:val="24"/>
        </w:rPr>
        <w:t xml:space="preserve">Top 10 medidores por consumo anual</w:t>
      </w:r>
    </w:p>
    <w:p>
      <w:pPr>
        <w:shd w:color="1E1E1E" w:val="solid"/>
        <w:spacing w:before="80" w:after="80"/>
        <w:ind w:left="300" w:right="300"/>
      </w:pPr>
      <w:r>
        <w:rPr>
          <w:rFonts w:ascii="Courier New" w:cs="Courier New" w:eastAsia="Courier New" w:hAnsi="Courier New"/>
          <w:color w:val="4EC9B0"/>
          <w:sz w:val="18"/>
          <w:szCs w:val="18"/>
        </w:rPr>
        <w:t xml:space="preserve">df.groupby('meter_id')['power_kW'].sum().nlargest(10) * 0.25 / 1000</w:t>
      </w:r>
    </w:p>
    <w:p>
      <w:pPr>
        <w:pStyle w:val="Heading3"/>
        <w:pBdr>
          <w:bottom w:val="single" w:color="2E75B6" w:sz="6"/>
        </w:pBdr>
        <w:spacing w:before="200" w:after="100"/>
      </w:pPr>
      <w:r>
        <w:rPr>
          <w:rFonts w:ascii="Arial" w:cs="Arial" w:eastAsia="Arial" w:hAnsi="Arial"/>
          <w:b/>
          <w:bCs/>
          <w:color w:val="1F3864"/>
          <w:sz w:val="24"/>
          <w:szCs w:val="24"/>
        </w:rPr>
        <w:t xml:space="preserve">Energía acumulada final de un medidor</w:t>
      </w:r>
    </w:p>
    <w:p>
      <w:pPr>
        <w:shd w:color="1E1E1E" w:val="solid"/>
        <w:spacing w:before="80" w:after="80"/>
        <w:ind w:left="300" w:right="300"/>
      </w:pPr>
      <w:r>
        <w:rPr>
          <w:rFonts w:ascii="Courier New" w:cs="Courier New" w:eastAsia="Courier New" w:hAnsi="Courier New"/>
          <w:color w:val="4EC9B0"/>
          <w:sz w:val="18"/>
          <w:szCs w:val="18"/>
        </w:rPr>
        <w:t xml:space="preserve">df[df['meter_id']=='MG-001']['energy_kWh_total'].max()</w:t>
      </w:r>
    </w:p>
    <w:p>
      <w:pPr>
        <w:pStyle w:val="Heading1"/>
        <w:shd w:color="1F3864" w:val="solid"/>
        <w:spacing w:before="320" w:after="200"/>
        <w:ind w:left="200"/>
      </w:pPr>
      <w:r>
        <w:rPr>
          <w:rFonts w:ascii="Arial" w:cs="Arial" w:eastAsia="Arial" w:hAnsi="Arial"/>
          <w:b/>
          <w:bCs/>
          <w:color w:val="FFFFFF"/>
          <w:sz w:val="36"/>
          <w:szCs w:val="36"/>
        </w:rPr>
        <w:t xml:space="preserve">8. Glosario de Términos</w:t>
      </w:r>
    </w:p>
    <w:tbl>
      <w:tblPr>
        <w:tblW w:type="dxa" w:w="92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tblGrid>
      <w:tr>
        <w:trPr>
          <w:tblHeader/>
        </w:trPr>
        <w:tc>
          <w:tcPr>
            <w:tcW w:type="dxa" w:w="2200"/>
            <w:shd w:color="1F3864" w:val="solid"/>
            <w:tcMar>
              <w:top w:type="dxa" w:w="80"/>
              <w:left w:type="dxa" w:w="100"/>
              <w:bottom w:type="dxa" w:w="80"/>
              <w:right w:type="dxa" w:w="100"/>
            </w:tcMar>
          </w:tcPr>
          <w:p>
            <w:r>
              <w:rPr>
                <w:rFonts w:ascii="Arial" w:cs="Arial" w:eastAsia="Arial" w:hAnsi="Arial"/>
                <w:b/>
                <w:bCs/>
                <w:color w:val="FFFFFF"/>
                <w:sz w:val="20"/>
                <w:szCs w:val="20"/>
              </w:rPr>
              <w:t xml:space="preserve">Término</w:t>
            </w:r>
          </w:p>
        </w:tc>
        <w:tc>
          <w:tcPr>
            <w:tcW w:type="dxa" w:w="7000"/>
            <w:shd w:color="1F3864" w:val="solid"/>
            <w:tcMar>
              <w:top w:type="dxa" w:w="80"/>
              <w:left w:type="dxa" w:w="100"/>
              <w:bottom w:type="dxa" w:w="80"/>
              <w:right w:type="dxa" w:w="100"/>
            </w:tcMar>
          </w:tcPr>
          <w:p>
            <w:r>
              <w:rPr>
                <w:rFonts w:ascii="Arial" w:cs="Arial" w:eastAsia="Arial" w:hAnsi="Arial"/>
                <w:b/>
                <w:bCs/>
                <w:color w:val="FFFFFF"/>
                <w:sz w:val="20"/>
                <w:szCs w:val="20"/>
              </w:rPr>
              <w:t xml:space="preserve">Definición</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kW (kiloWatt)</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Unidad de potencia activa. Representa la tasa de consumo de energía en un instante dado.</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kWh (kiloWatt-hora)</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Unidad de energía. 1 kWh = consumir 1 kW durante 1 hora. Es la unidad facturada por las eléctricas.</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MWh (MegaWatt-hora)</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1 MWh = 1.000 kWh. Usado para expresar consumos anuales de centros comerciales.</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Factor de potencia (PF)</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Relación entre potencia activa (kW) y potencia aparente (kVA). Valor 1,0 = eficiencia perfecta. Valores bajos indican cargas inductivas.</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kVAr</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Kilovolt-Amperio Reactivo. Potencia reactiva que no realiza trabajo útil pero circula por la red.</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SSCC</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Servicios Comunes. El primer medidor de cada centro que mide el consumo de áreas comunes: pasillos, estacionamiento, climatización central.</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PAC1670</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Medidor trifásico Siemens SENTRON. Mide las 3 fases del suministro eléctrico industrial.</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PAC1651</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Medidor monofásico Siemens SENTRON. Mide una sola fase, típico en locales pequeños.</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Modbus RTU</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Protocolo de comunicación serie RS-485 usado para leer los medidores. Cada medidor tiene una dirección única (1-247) en su bus.</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PAC4220</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Concentrador de datos Siemens. Recolecta datos de hasta 32 medidores Modbus y los envía vía Ethernet.</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POWER CENTER 3000</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Gateway Siemens que agrega hasta 8 PAC4220 y publica los datos vía MQTT a la nube.</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S7-1200</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PLC Siemens con módulo CM1241 (RS-485). Alternativa al PAC4220 para concentrar hasta 32 medidores.</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MQTT</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Protocolo de mensajería IoT ligero usado para publicar las lecturas de los medidores a la plataforma cloud.</w:t>
            </w:r>
          </w:p>
        </w:tc>
      </w:tr>
      <w:tr>
        <w:tc>
          <w:tcPr>
            <w:tcW w:type="dxa" w:w="2200"/>
            <w:shd w:color="FFFFFF" w:val="solid"/>
            <w:tcMar>
              <w:top w:type="dxa" w:w="60"/>
              <w:left w:type="dxa" w:w="100"/>
              <w:bottom w:type="dxa" w:w="60"/>
              <w:right w:type="dxa" w:w="100"/>
            </w:tcMar>
          </w:tcPr>
          <w:p>
            <w:r>
              <w:rPr>
                <w:rFonts w:ascii="Arial" w:cs="Arial" w:eastAsia="Arial" w:hAnsi="Arial"/>
                <w:b/>
                <w:bCs/>
                <w:color w:val="1F3864"/>
                <w:sz w:val="18"/>
                <w:szCs w:val="18"/>
              </w:rPr>
              <w:t xml:space="preserve">Intervalo de 15 min</w:t>
            </w:r>
          </w:p>
        </w:tc>
        <w:tc>
          <w:tcPr>
            <w:tcW w:type="dxa" w:w="7000"/>
            <w:shd w:color="FFFFFF" w:val="solid"/>
            <w:tcMar>
              <w:top w:type="dxa" w:w="60"/>
              <w:left w:type="dxa" w:w="100"/>
              <w:bottom w:type="dxa" w:w="60"/>
              <w:right w:type="dxa" w:w="100"/>
            </w:tcMar>
          </w:tcPr>
          <w:p>
            <w:r>
              <w:rPr>
                <w:rFonts w:ascii="Arial" w:cs="Arial" w:eastAsia="Arial" w:hAnsi="Arial"/>
                <w:sz w:val="18"/>
                <w:szCs w:val="18"/>
              </w:rPr>
              <w:t xml:space="preserve">Período entre lecturas consecutivas del mismo medidor. Estándar de la industria energética.</w:t>
            </w:r>
          </w:p>
        </w:tc>
      </w:tr>
      <w:tr>
        <w:tc>
          <w:tcPr>
            <w:tcW w:type="dxa" w:w="2200"/>
            <w:shd w:color="F2F2F2" w:val="solid"/>
            <w:tcMar>
              <w:top w:type="dxa" w:w="60"/>
              <w:left w:type="dxa" w:w="100"/>
              <w:bottom w:type="dxa" w:w="60"/>
              <w:right w:type="dxa" w:w="100"/>
            </w:tcMar>
          </w:tcPr>
          <w:p>
            <w:r>
              <w:rPr>
                <w:rFonts w:ascii="Arial" w:cs="Arial" w:eastAsia="Arial" w:hAnsi="Arial"/>
                <w:b/>
                <w:bCs/>
                <w:color w:val="1F3864"/>
                <w:sz w:val="18"/>
                <w:szCs w:val="18"/>
              </w:rPr>
              <w:t xml:space="preserve">Local no sensado</w:t>
            </w:r>
          </w:p>
        </w:tc>
        <w:tc>
          <w:tcPr>
            <w:tcW w:type="dxa" w:w="7000"/>
            <w:shd w:color="F2F2F2" w:val="solid"/>
            <w:tcMar>
              <w:top w:type="dxa" w:w="60"/>
              <w:left w:type="dxa" w:w="100"/>
              <w:bottom w:type="dxa" w:w="60"/>
              <w:right w:type="dxa" w:w="100"/>
            </w:tcMar>
          </w:tcPr>
          <w:p>
            <w:r>
              <w:rPr>
                <w:rFonts w:ascii="Arial" w:cs="Arial" w:eastAsia="Arial" w:hAnsi="Arial"/>
                <w:sz w:val="18"/>
                <w:szCs w:val="18"/>
              </w:rPr>
              <w:t xml:space="preserve">Tienda cuyo nombre real no está disponible en el sistema. Tiene consumo asignado proporcionalmente.</w:t>
            </w:r>
          </w:p>
        </w:tc>
      </w:tr>
    </w:tbl>
    <w:p>
      <w:pPr>
        <w:spacing w:before="60" w:after="60"/>
      </w:pPr>
      <w:r>
        <w:rPr>
          <w:rFonts w:ascii="Arial" w:cs="Arial" w:eastAsia="Arial" w:hAnsi="Arial"/>
          <w:b w:val="false"/>
          <w:bCs w:val="false"/>
          <w:i w:val="false"/>
          <w:iCs w:val="false"/>
          <w:color w:val="000000"/>
          <w:sz w:val="22"/>
          <w:szCs w:val="22"/>
        </w:rPr>
        <w:t xml:space="preserve"/>
      </w:r>
    </w:p>
    <w:p>
      <w:pPr>
        <w:shd w:color="DAE3F3" w:val="solid"/>
        <w:spacing w:before="400" w:after="100"/>
        <w:ind w:left="200" w:right="200"/>
      </w:pPr>
      <w:r>
        <w:rPr>
          <w:rFonts w:ascii="Arial" w:cs="Arial" w:eastAsia="Arial" w:hAnsi="Arial"/>
          <w:b/>
          <w:bCs/>
          <w:color w:val="1F3864"/>
          <w:sz w:val="20"/>
          <w:szCs w:val="20"/>
        </w:rPr>
        <w:t xml:space="preserve">Nota para sistemas de IA: </w:t>
      </w:r>
      <w:r>
        <w:rPr>
          <w:rFonts w:ascii="Arial" w:cs="Arial" w:eastAsia="Arial" w:hAnsi="Arial"/>
          <w:color w:val="1F3864"/>
          <w:sz w:val="20"/>
          <w:szCs w:val="20"/>
        </w:rPr>
        <w:t xml:space="preserve">Todos los datos son sintéticos generados por simulación. Los nombres de tiendas, valores de consumo y lecturas eléctricas son representativos del comportamiento real pero no corresponden a mediciones reales de Parque Arauco S.A. Los datos pueden usarse libremente para entrenamiento, análisis, pruebas de ingesta y desarrollo de dashboards.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95959"/>
        <w:sz w:val="18"/>
        <w:szCs w:val="18"/>
      </w:rPr>
      <w:t xml:space="preserve">POWER Digital® — Documentación Base de Datos de Simulación  |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2026-03-10T12:27:02.618Z</dcterms:created>
  <dcterms:modified xsi:type="dcterms:W3CDTF">2026-03-10T12:27:02.618Z</dcterms:modified>
</cp:coreProperties>
</file>

<file path=docProps/custom.xml><?xml version="1.0" encoding="utf-8"?>
<Properties xmlns="http://schemas.openxmlformats.org/officeDocument/2006/custom-properties" xmlns:vt="http://schemas.openxmlformats.org/officeDocument/2006/docPropsVTypes"/>
</file>