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partment-course-planner"/>
    <w:p>
      <w:pPr>
        <w:pStyle w:val="Heading1"/>
      </w:pPr>
      <w:r>
        <w:t xml:space="preserve">Department Course Planner</w:t>
      </w:r>
    </w:p>
    <w:p>
      <w:pPr>
        <w:pStyle w:val="FirstParagraph"/>
      </w:pPr>
      <w:r>
        <w:t xml:space="preserve">2026-27 F</w:t>
      </w:r>
    </w:p>
    <w:p>
      <w:pPr>
        <w:pStyle w:val="BodyText"/>
      </w:pPr>
      <w:r>
        <w:t xml:space="preserve">Course Number: ARCH7XXX (new elective code TBC)</w:t>
      </w:r>
    </w:p>
    <w:p>
      <w:pPr>
        <w:pStyle w:val="BodyText"/>
      </w:pPr>
      <w:r>
        <w:t xml:space="preserve">Category: Environmental Technology and Sustainability (proposed)</w:t>
      </w:r>
    </w:p>
    <w:p>
      <w:pPr>
        <w:pStyle w:val="BodyText"/>
      </w:pPr>
      <w:r>
        <w:t xml:space="preserve">Course Title: Thermal Fields in Architecture: Bodies, Moisture, Radiation, and Climate Stress</w:t>
      </w:r>
    </w:p>
    <w:p>
      <w:pPr>
        <w:pStyle w:val="BodyText"/>
      </w:pPr>
      <w:r>
        <w:t xml:space="preserve">Teacher: Dr. Hongshan Guo</w:t>
      </w:r>
    </w:p>
    <w:p>
      <w:pPr>
        <w:pStyle w:val="BodyText"/>
      </w:pPr>
      <w:r>
        <w:t xml:space="preserve">Schedule: 12 weeks x 2 hours/week (day/time TBC)</w:t>
      </w:r>
    </w:p>
    <w:p>
      <w:pPr>
        <w:pStyle w:val="BodyText"/>
      </w:pPr>
      <w:r>
        <w:t xml:space="preserve">Venue: TBC</w:t>
      </w:r>
    </w:p>
    <w:p>
      <w:pPr>
        <w:pStyle w:val="BodyText"/>
      </w:pPr>
      <w:r>
        <w:t xml:space="preserve">Enrolment / Quota: TBC</w:t>
      </w:r>
    </w:p>
    <w:p>
      <w:pPr>
        <w:pStyle w:val="BodyText"/>
      </w:pPr>
      <w:r>
        <w:t xml:space="preserve">Office hours: 1 hour weekly (TBC) or by appointment</w:t>
      </w:r>
    </w:p>
    <w:bookmarkStart w:id="20" w:name="i.-course-description"/>
    <w:p>
      <w:pPr>
        <w:pStyle w:val="Heading2"/>
      </w:pPr>
      <w:r>
        <w:t xml:space="preserve">I. Course Description</w:t>
      </w:r>
    </w:p>
    <w:p>
      <w:pPr>
        <w:pStyle w:val="FirstParagraph"/>
      </w:pPr>
      <w:r>
        <w:t xml:space="preserve">This course examines thermal environments as spatial, temporal, and human-centered phenomena in architectural design. Moving beyond average air temperature and static comfort targets, students investigate radiant environment, heat transfer, indoor/outdoor heterogeneity, climate stress, and uncertainty in measurement and simulation. Through field evidence, numerical analysis, EnergyPlus-based or EnergyPlus-derived workflows, thermal mapping, and design testing, students learn to diagnose when and how buildings fail thermally and to translate that diagnosis into architectural interventions involving envelope, shading, material, ventilation, program, landscape, and user control. The course emphasizes measurable design reasoning, climate adaptation, health and welfare, and the limits of evidence-based claims.</w:t>
      </w:r>
    </w:p>
    <w:p>
      <w:pPr>
        <w:pStyle w:val="BodyText"/>
      </w:pPr>
      <w:r>
        <w:t xml:space="preserve">Thermal design is not the pursuit of one average indoor condition. It is the shaping of heterogeneous thermal environments across bodies, surfaces, rooms, buildings, and climates under uncertainty. Students learn to map thermal variation, stress-test buildings against assumptions and climate scenarios, identify failure modes hidden by averages or compliance metrics, and translate evidence into architectural interventions.</w:t>
      </w:r>
    </w:p>
    <w:p>
      <w:pPr>
        <w:pStyle w:val="BodyText"/>
      </w:pPr>
      <w:r>
        <w:t xml:space="preserve">Across the semester, students build four linked artifacts. They first map spatial air and humidity differences, then examine radiant exchange and body exposure, then audit temporal build-up and failure thresholds, and finally assemble a mechanism-informed thermal design intervention. The final project asks each student to translate thermal evidence into one defensible architectural action involving form, envelope, shade, material, section, program, landscape, air movement, or control. A required roll-forward validation note tests whether the proposed action still makes sense under a changed weather, climate-stress, occupancy, or evaluation assumption.</w:t>
      </w:r>
    </w:p>
    <w:p>
      <w:pPr>
        <w:pStyle w:val="BodyText"/>
      </w:pPr>
      <w:r>
        <w:t xml:space="preserve">The course supports accreditation-facing learning in environmental systems, technical knowledge, health, safety and welfare, climate resilience, and research-based design. Its distinctive contribution to architectural education is to move students from single-average environmental reasoning toward spatially explicit, uncertainty-aware, future-facing thermal judgment.</w:t>
      </w:r>
    </w:p>
    <w:bookmarkEnd w:id="20"/>
    <w:bookmarkStart w:id="23" w:name="ii.-learning-outcomes"/>
    <w:p>
      <w:pPr>
        <w:pStyle w:val="Heading2"/>
      </w:pPr>
      <w:r>
        <w:t xml:space="preserve">II. Learning Outcomes</w:t>
      </w:r>
    </w:p>
    <w:bookmarkStart w:id="21" w:name="course-learning-outcomes"/>
    <w:p>
      <w:pPr>
        <w:pStyle w:val="Heading3"/>
      </w:pPr>
      <w:r>
        <w:t xml:space="preserve">Course Learning Outcomes</w:t>
      </w:r>
    </w:p>
    <w:p>
      <w:pPr>
        <w:pStyle w:val="FirstParagraph"/>
      </w:pPr>
      <w:r>
        <w:t xml:space="preserve">By the end of the course, students should be able 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Course Learning Outcome</w:t>
            </w:r>
          </w:p>
        </w:tc>
        <w:tc>
          <w:tcPr/>
          <w:p>
            <w:pPr>
              <w:pStyle w:val="Compact"/>
            </w:pPr>
            <w:r>
              <w:t xml:space="preserve">Program Learning Outcomes</w:t>
            </w:r>
          </w:p>
        </w:tc>
      </w:tr>
      <w:tr>
        <w:tc>
          <w:tcPr/>
          <w:p>
            <w:pPr>
              <w:pStyle w:val="Compact"/>
            </w:pPr>
            <w:r>
              <w:t xml:space="preserve">1. Explain thermal environments as interactions among air, humidity, surfaces, radiation, air movement, bodies, behavior, and time.</w:t>
            </w:r>
          </w:p>
        </w:tc>
        <w:tc>
          <w:tcPr/>
          <w:p>
            <w:pPr>
              <w:pStyle w:val="Compact"/>
            </w:pPr>
            <w:r>
              <w:t xml:space="preserve">PLO 3</w:t>
            </w:r>
          </w:p>
        </w:tc>
      </w:tr>
      <w:tr>
        <w:tc>
          <w:tcPr/>
          <w:p>
            <w:pPr>
              <w:pStyle w:val="Compact"/>
            </w:pPr>
            <w:r>
              <w:t xml:space="preserve">2. Distinguish air temperature from humidity-related stress, surface temperature, mean radiant temperature, operative temperature, and thermal sensation.</w:t>
            </w:r>
          </w:p>
        </w:tc>
        <w:tc>
          <w:tcPr/>
          <w:p>
            <w:pPr>
              <w:pStyle w:val="Compact"/>
            </w:pPr>
            <w:r>
              <w:t xml:space="preserve">PLO 3</w:t>
            </w:r>
          </w:p>
        </w:tc>
      </w:tr>
      <w:tr>
        <w:tc>
          <w:tcPr/>
          <w:p>
            <w:pPr>
              <w:pStyle w:val="Compact"/>
            </w:pPr>
            <w:r>
              <w:t xml:space="preserve">3. Map spatial air-temperature and humidity heterogeneity in indoor, outdoor, or threshold environments while identifying sampling limits.</w:t>
            </w:r>
          </w:p>
        </w:tc>
        <w:tc>
          <w:tcPr/>
          <w:p>
            <w:pPr>
              <w:pStyle w:val="Compact"/>
            </w:pPr>
            <w:r>
              <w:t xml:space="preserve">PLO 3, PLO 4</w:t>
            </w:r>
          </w:p>
        </w:tc>
      </w:tr>
      <w:tr>
        <w:tc>
          <w:tcPr/>
          <w:p>
            <w:pPr>
              <w:pStyle w:val="Compact"/>
            </w:pPr>
            <w:r>
              <w:t xml:space="preserve">4. Interpret radiant exchange using surface temperature, body position, mean radiant temperature, heat-flux logic, and architectural exposure.</w:t>
            </w:r>
          </w:p>
        </w:tc>
        <w:tc>
          <w:tcPr/>
          <w:p>
            <w:pPr>
              <w:pStyle w:val="Compact"/>
            </w:pPr>
            <w:r>
              <w:t xml:space="preserve">PLO 3, PLO 4</w:t>
            </w:r>
          </w:p>
        </w:tc>
      </w:tr>
      <w:tr>
        <w:tc>
          <w:tcPr/>
          <w:p>
            <w:pPr>
              <w:pStyle w:val="Compact"/>
            </w:pPr>
            <w:r>
              <w:t xml:space="preserve">5. Explain thermal build-up, capacity, lag, conduction, and accumulated exposure using portable equations and design-relevant diagrams.</w:t>
            </w:r>
          </w:p>
        </w:tc>
        <w:tc>
          <w:tcPr/>
          <w:p>
            <w:pPr>
              <w:pStyle w:val="Compact"/>
            </w:pPr>
            <w:r>
              <w:t xml:space="preserve">PLO 3</w:t>
            </w:r>
          </w:p>
        </w:tc>
      </w:tr>
      <w:tr>
        <w:tc>
          <w:tcPr/>
          <w:p>
            <w:pPr>
              <w:pStyle w:val="Compact"/>
            </w:pPr>
            <w:r>
              <w:t xml:space="preserve">6. Collect, simulate, or interpret thermal evidence while identifying measurement, sampling, model, radiant, weather, and assumption uncertainty.</w:t>
            </w:r>
          </w:p>
        </w:tc>
        <w:tc>
          <w:tcPr/>
          <w:p>
            <w:pPr>
              <w:pStyle w:val="Compact"/>
            </w:pPr>
            <w:r>
              <w:t xml:space="preserve">PLO 4</w:t>
            </w:r>
          </w:p>
        </w:tc>
      </w:tr>
      <w:tr>
        <w:tc>
          <w:tcPr/>
          <w:p>
            <w:pPr>
              <w:pStyle w:val="Compact"/>
            </w:pPr>
            <w:r>
              <w:t xml:space="preserve">7. Diagnose thermal failure modes hidden by averages, defaults, single comfort metrics, or incomplete evidence.</w:t>
            </w:r>
          </w:p>
        </w:tc>
        <w:tc>
          <w:tcPr/>
          <w:p>
            <w:pPr>
              <w:pStyle w:val="Compact"/>
            </w:pPr>
            <w:r>
              <w:t xml:space="preserve">PLO 4, PLO 5</w:t>
            </w:r>
          </w:p>
        </w:tc>
      </w:tr>
      <w:tr>
        <w:tc>
          <w:tcPr/>
          <w:p>
            <w:pPr>
              <w:pStyle w:val="Compact"/>
            </w:pPr>
            <w:r>
              <w:t xml:space="preserve">8. Construct a bounded design-action ladder and identify sufficient, weakened, censored, or unresolved outcomes within a stated action space.</w:t>
            </w:r>
          </w:p>
        </w:tc>
        <w:tc>
          <w:tcPr/>
          <w:p>
            <w:pPr>
              <w:pStyle w:val="Compact"/>
            </w:pPr>
            <w:r>
              <w:t xml:space="preserve">PLO 1-2, PLO 5</w:t>
            </w:r>
          </w:p>
        </w:tc>
      </w:tr>
      <w:tr>
        <w:tc>
          <w:tcPr/>
          <w:p>
            <w:pPr>
              <w:pStyle w:val="Compact"/>
            </w:pPr>
            <w:r>
              <w:t xml:space="preserve">9. Conduct a bounded roll-forward validation by testing or reasoning how a design action behaves under changed climate, weather-window, occupancy, or stress assumptions.</w:t>
            </w:r>
          </w:p>
        </w:tc>
        <w:tc>
          <w:tcPr/>
          <w:p>
            <w:pPr>
              <w:pStyle w:val="Compact"/>
            </w:pPr>
            <w:r>
              <w:t xml:space="preserve">PLO 3, PLO 4</w:t>
            </w:r>
          </w:p>
        </w:tc>
      </w:tr>
      <w:tr>
        <w:tc>
          <w:tcPr/>
          <w:p>
            <w:pPr>
              <w:pStyle w:val="Compact"/>
            </w:pPr>
            <w:r>
              <w:t xml:space="preserve">10. Translate thermal evidence into architectural decisions involving form, envelope, shade, material, section, program, landscape, air movement, and control.</w:t>
            </w:r>
          </w:p>
        </w:tc>
        <w:tc>
          <w:tcPr/>
          <w:p>
            <w:pPr>
              <w:pStyle w:val="Compact"/>
            </w:pPr>
            <w:r>
              <w:t xml:space="preserve">PLO 1-2, PLO 5</w:t>
            </w:r>
          </w:p>
        </w:tc>
      </w:tr>
      <w:tr>
        <w:tc>
          <w:tcPr/>
          <w:p>
            <w:pPr>
              <w:pStyle w:val="Compact"/>
            </w:pPr>
            <w:r>
              <w:t xml:space="preserve">11. Defend a thermal design intervention with drawings, numerical evidence, uncertainty statements, reproducibility notes, and clear limits of claim.</w:t>
            </w:r>
          </w:p>
        </w:tc>
        <w:tc>
          <w:tcPr/>
          <w:p>
            <w:pPr>
              <w:pStyle w:val="Compact"/>
            </w:pPr>
            <w:r>
              <w:t xml:space="preserve">PLO 5</w:t>
            </w:r>
          </w:p>
        </w:tc>
      </w:tr>
    </w:tbl>
    <w:bookmarkEnd w:id="21"/>
    <w:bookmarkStart w:id="22" w:name="X0f0d1d3f5ffdb32c339dc793d0217d799df0a8d"/>
    <w:p>
      <w:pPr>
        <w:pStyle w:val="Heading3"/>
      </w:pPr>
      <w:r>
        <w:t xml:space="preserve">PLO Alignment and Architectural Relevance</w:t>
      </w:r>
    </w:p>
    <w:p>
      <w:pPr>
        <w:pStyle w:val="FirstParagraph"/>
      </w:pPr>
      <w:r>
        <w:t xml:space="preserve">The course-facing PLO alignment 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PLO-facing capability</w:t>
            </w:r>
          </w:p>
        </w:tc>
        <w:tc>
          <w:tcPr/>
          <w:p>
            <w:pPr>
              <w:pStyle w:val="Compact"/>
            </w:pPr>
            <w:r>
              <w:t xml:space="preserve">ARCH7XXX contribution</w:t>
            </w:r>
          </w:p>
        </w:tc>
      </w:tr>
      <w:tr>
        <w:tc>
          <w:tcPr/>
          <w:p>
            <w:pPr>
              <w:pStyle w:val="Compact"/>
            </w:pPr>
            <w:r>
              <w:t xml:space="preserve">Design intelligence</w:t>
            </w:r>
          </w:p>
        </w:tc>
        <w:tc>
          <w:tcPr/>
          <w:p>
            <w:pPr>
              <w:pStyle w:val="Compact"/>
            </w:pPr>
            <w:r>
              <w:t xml:space="preserve">Students use thermal evidence to revise architectural decisions rather than merely report performance scores. The final project requires one design action with spatial, material, sectional, programmatic, or control consequences.</w:t>
            </w:r>
          </w:p>
        </w:tc>
      </w:tr>
      <w:tr>
        <w:tc>
          <w:tcPr/>
          <w:p>
            <w:pPr>
              <w:pStyle w:val="Compact"/>
            </w:pPr>
            <w:r>
              <w:t xml:space="preserve">Thermal intelligence</w:t>
            </w:r>
          </w:p>
        </w:tc>
        <w:tc>
          <w:tcPr/>
          <w:p>
            <w:pPr>
              <w:pStyle w:val="Compact"/>
            </w:pPr>
            <w:r>
              <w:t xml:space="preserve">Students learn core thermal concepts: air temperature, relative humidity, psychrometric stress, heat balance, conduction, convection, radiation, evaporation, mean radiant temperature, operative temperature, thermal capacity, lag, exposure duration, and thresholds.</w:t>
            </w:r>
          </w:p>
        </w:tc>
      </w:tr>
      <w:tr>
        <w:tc>
          <w:tcPr/>
          <w:p>
            <w:pPr>
              <w:pStyle w:val="Compact"/>
            </w:pPr>
            <w:r>
              <w:t xml:space="preserve">Spatial intelligence</w:t>
            </w:r>
          </w:p>
        </w:tc>
        <w:tc>
          <w:tcPr/>
          <w:p>
            <w:pPr>
              <w:pStyle w:val="Compact"/>
            </w:pPr>
            <w:r>
              <w:t xml:space="preserve">Students read thermal conditions through plan, section, surface, body position, indoor/outdoor thresholds, and microclimatic heterogeneity. Thermal difference is treated as a spatial field, not a single room value.</w:t>
            </w:r>
          </w:p>
        </w:tc>
      </w:tr>
      <w:tr>
        <w:tc>
          <w:tcPr/>
          <w:p>
            <w:pPr>
              <w:pStyle w:val="Compact"/>
            </w:pPr>
            <w:r>
              <w:t xml:space="preserve">Environmental legibility</w:t>
            </w:r>
          </w:p>
        </w:tc>
        <w:tc>
          <w:tcPr/>
          <w:p>
            <w:pPr>
              <w:pStyle w:val="Compact"/>
            </w:pPr>
            <w:r>
              <w:t xml:space="preserve">Students make environmental evidence visible through sensing plans, transects, maps, time-series, radiant cards, threshold plots, action ladders, and uncertainty notes.</w:t>
            </w:r>
          </w:p>
        </w:tc>
      </w:tr>
      <w:tr>
        <w:tc>
          <w:tcPr/>
          <w:p>
            <w:pPr>
              <w:pStyle w:val="Compact"/>
            </w:pPr>
            <w:r>
              <w:t xml:space="preserve">Health, safety, welfare</w:t>
            </w:r>
          </w:p>
        </w:tc>
        <w:tc>
          <w:tcPr/>
          <w:p>
            <w:pPr>
              <w:pStyle w:val="Compact"/>
            </w:pPr>
            <w:r>
              <w:t xml:space="preserve">Students connect thermal exposure to comfort, heat stress, humidity and mold risk, vulnerable occupants, thermal refuge, and protection-oriented design decisions.</w:t>
            </w:r>
          </w:p>
        </w:tc>
      </w:tr>
      <w:tr>
        <w:tc>
          <w:tcPr/>
          <w:p>
            <w:pPr>
              <w:pStyle w:val="Compact"/>
            </w:pPr>
            <w:r>
              <w:t xml:space="preserve">Climate and ecological responsibility</w:t>
            </w:r>
          </w:p>
        </w:tc>
        <w:tc>
          <w:tcPr/>
          <w:p>
            <w:pPr>
              <w:pStyle w:val="Compact"/>
            </w:pPr>
            <w:r>
              <w:t xml:space="preserve">Students examine heatwaves, humid-hot periods, future weather, roll-forward validation, passive strategies, low-energy interventions, and design robustness under climate stress.</w:t>
            </w:r>
          </w:p>
        </w:tc>
      </w:tr>
      <w:tr>
        <w:tc>
          <w:tcPr/>
          <w:p>
            <w:pPr>
              <w:pStyle w:val="Compact"/>
            </w:pPr>
            <w:r>
              <w:t xml:space="preserve">Research and reproducibility</w:t>
            </w:r>
          </w:p>
        </w:tc>
        <w:tc>
          <w:tcPr/>
          <w:p>
            <w:pPr>
              <w:pStyle w:val="Compact"/>
            </w:pPr>
            <w:r>
              <w:t xml:space="preserve">Students practice evidence collection, modeling, interpretation, uncertainty ownership, reproducible figures, and honest limits of claim.</w:t>
            </w:r>
          </w:p>
        </w:tc>
      </w:tr>
    </w:tbl>
    <w:bookmarkEnd w:id="22"/>
    <w:bookmarkEnd w:id="23"/>
    <w:bookmarkStart w:id="24" w:name="X5d3b0430c2ed4c4d3b8abd3436b4d8e151b8bbd"/>
    <w:p>
      <w:pPr>
        <w:pStyle w:val="Heading2"/>
      </w:pPr>
      <w:r>
        <w:t xml:space="preserve">III. Schedule of Teaching and Learning Activities</w:t>
      </w:r>
    </w:p>
    <w:p>
      <w:pPr>
        <w:pStyle w:val="FirstParagraph"/>
      </w:pPr>
      <w:r>
        <w:t xml:space="preserve">The semester uses a repeated structure: Session 1 introduces concepts and worked examples; Session 2 runs a diagnostic round in which students post a design image, classmates make educated guesses under the weekly thermal lens, and the host reveals the actual issue, evidence, mitigation, and uncertainty.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In-class focus (2h)</w:t>
            </w:r>
          </w:p>
        </w:tc>
        <w:tc>
          <w:tcPr/>
          <w:p>
            <w:pPr>
              <w:pStyle w:val="Compact"/>
            </w:pPr>
            <w:r>
              <w:t xml:space="preserve">Out-of-class work</w:t>
            </w:r>
          </w:p>
        </w:tc>
        <w:tc>
          <w:tcPr/>
          <w:p>
            <w:pPr>
              <w:pStyle w:val="Compact"/>
            </w:pPr>
            <w:r>
              <w:t xml:space="preserve">Key concepts / tools</w:t>
            </w:r>
          </w:p>
        </w:tc>
        <w:tc>
          <w:tcPr/>
          <w:p>
            <w:pPr>
              <w:pStyle w:val="Compact"/>
            </w:pPr>
            <w:r>
              <w:t xml:space="preserve">Assignment link</w:t>
            </w:r>
          </w:p>
        </w:tc>
      </w:tr>
      <w:tr>
        <w:tc>
          <w:tcPr/>
          <w:p>
            <w:pPr>
              <w:pStyle w:val="Compact"/>
            </w:pPr>
            <w:r>
              <w:t xml:space="preserve">W1 / Air Is Not Enough</w:t>
            </w:r>
          </w:p>
        </w:tc>
        <w:tc>
          <w:tcPr/>
          <w:p>
            <w:pPr>
              <w:pStyle w:val="Compact"/>
            </w:pPr>
            <w:r>
              <w:t xml:space="preserve">Course framing; why one air-temperature value cannot define a thermal condition; Ta/RH, air speed, stagnant air, humidity stress, ventilation context, point-to-field mapping, psychrometric thinking, moisture action ladder preview, hidden defaults. Diagnostic round: thermal claim autopsy from a studio or precedent image.</w:t>
            </w:r>
          </w:p>
        </w:tc>
        <w:tc>
          <w:tcPr/>
          <w:p>
            <w:pPr>
              <w:pStyle w:val="Compact"/>
            </w:pPr>
            <w:r>
              <w:t xml:space="preserve">Select one indoor, outdoor, or threshold condition; prepare A1 field question and candidate positions.</w:t>
            </w:r>
          </w:p>
        </w:tc>
        <w:tc>
          <w:tcPr/>
          <w:p>
            <w:pPr>
              <w:pStyle w:val="Compact"/>
            </w:pPr>
            <w:r>
              <w:t xml:space="preserve">Ta, RH, air speed, humidity, psychrometrics, point/contour field mapping, stagnant air, hidden defaults, thermal claim autopsy.</w:t>
            </w:r>
          </w:p>
        </w:tc>
        <w:tc>
          <w:tcPr/>
          <w:p>
            <w:pPr>
              <w:pStyle w:val="Compact"/>
            </w:pPr>
            <w:r>
              <w:t xml:space="preserve">A1 launch</w:t>
            </w:r>
          </w:p>
        </w:tc>
      </w:tr>
      <w:tr>
        <w:tc>
          <w:tcPr/>
          <w:p>
            <w:pPr>
              <w:pStyle w:val="Compact"/>
            </w:pPr>
            <w:r>
              <w:t xml:space="preserve">W2 / Body Heat Balance</w:t>
            </w:r>
          </w:p>
        </w:tc>
        <w:tc>
          <w:tcPr/>
          <w:p>
            <w:pPr>
              <w:pStyle w:val="Compact"/>
            </w:pPr>
            <w:r>
              <w:t xml:space="preserve">How a body exchanges heat with a space; metabolism, clothing, convection, draft/breeze, radiation, evaporation, dehumidification, heat-stress pathways, PMV/PPD, adaptive comfort, UTCI, WBGT, and heat-index concepts as models with domains and limits. Diagnostic round: identify dominant heat-exchange pathway and competing design constraints.</w:t>
            </w:r>
          </w:p>
        </w:tc>
        <w:tc>
          <w:tcPr/>
          <w:p>
            <w:pPr>
              <w:pStyle w:val="Compact"/>
            </w:pPr>
            <w:r>
              <w:t xml:space="preserve">Draft body-space heat-balance sketch; refine sensing or observation protocol.</w:t>
            </w:r>
          </w:p>
        </w:tc>
        <w:tc>
          <w:tcPr/>
          <w:p>
            <w:pPr>
              <w:pStyle w:val="Compact"/>
            </w:pPr>
            <w:r>
              <w:t xml:space="preserve">Human heat balance, air speed, local body exposure, PMV/PPD, adaptive comfort, heat stress indices, physiology, design consequence.</w:t>
            </w:r>
          </w:p>
        </w:tc>
        <w:tc>
          <w:tcPr/>
          <w:p>
            <w:pPr>
              <w:pStyle w:val="Compact"/>
            </w:pPr>
            <w:r>
              <w:t xml:space="preserve">A1 evidence setup</w:t>
            </w:r>
          </w:p>
        </w:tc>
      </w:tr>
      <w:tr>
        <w:tc>
          <w:tcPr/>
          <w:p>
            <w:pPr>
              <w:pStyle w:val="Compact"/>
            </w:pPr>
            <w:r>
              <w:t xml:space="preserve">W3 / Sensing Thermal Fields</w:t>
            </w:r>
          </w:p>
        </w:tc>
        <w:tc>
          <w:tcPr/>
          <w:p>
            <w:pPr>
              <w:pStyle w:val="Compact"/>
            </w:pPr>
            <w:r>
              <w:t xml:space="preserve">What sensing can prove; sensor placement, logging interval, sampling bias, interpolation, point maps, contour/heat maps, RH/Ta capture limits, air-movement observation, surface readings, radiant proxy options, ventilation versus local exposure, privacy and field ethics. Diagnostic round: where would you measure, and what would the sensor miss?</w:t>
            </w:r>
          </w:p>
        </w:tc>
        <w:tc>
          <w:tcPr/>
          <w:p>
            <w:pPr>
              <w:pStyle w:val="Compact"/>
            </w:pPr>
            <w:r>
              <w:t xml:space="preserve">Complete A1 board: Ta/RH points, air-movement note, point/gradient/contour map, protocol, defended claim, uncertainty limit.</w:t>
            </w:r>
          </w:p>
        </w:tc>
        <w:tc>
          <w:tcPr/>
          <w:p>
            <w:pPr>
              <w:pStyle w:val="Compact"/>
            </w:pPr>
            <w:r>
              <w:t xml:space="preserve">Air/RH loggers, point maps, contour/heat maps, air-movement observation, surface temperature, optional globe/SMART-style radiant proxy, sampling bias.</w:t>
            </w:r>
          </w:p>
        </w:tc>
        <w:tc>
          <w:tcPr/>
          <w:p>
            <w:pPr>
              <w:pStyle w:val="Compact"/>
            </w:pPr>
            <w:r>
              <w:t xml:space="preserve">A1 due</w:t>
            </w:r>
          </w:p>
        </w:tc>
      </w:tr>
      <w:tr>
        <w:tc>
          <w:tcPr/>
          <w:p>
            <w:pPr>
              <w:pStyle w:val="Compact"/>
            </w:pPr>
            <w:r>
              <w:t xml:space="preserve">W4 / Radiant Environment</w:t>
            </w:r>
          </w:p>
        </w:tc>
        <w:tc>
          <w:tcPr/>
          <w:p>
            <w:pPr>
              <w:pStyle w:val="Compact"/>
            </w:pPr>
            <w:r>
              <w:t xml:space="preserve">Why same air temperature can produce different thermal experience; surface temperature, solar exposure, longwave/shortwave radiation, MRT, operative temperature, shade as architecture. Diagnostic round: locate radiant hot/cold positions.</w:t>
            </w:r>
          </w:p>
        </w:tc>
        <w:tc>
          <w:tcPr/>
          <w:p>
            <w:pPr>
              <w:pStyle w:val="Compact"/>
            </w:pPr>
            <w:r>
              <w:t xml:space="preserve">Build A2 radiant comparison between two positions.</w:t>
            </w:r>
          </w:p>
        </w:tc>
        <w:tc>
          <w:tcPr/>
          <w:p>
            <w:pPr>
              <w:pStyle w:val="Compact"/>
            </w:pPr>
            <w:r>
              <w:t xml:space="preserve">Surface temperature, MRT, operative temperature, indoor/outdoor radiant fields.</w:t>
            </w:r>
          </w:p>
        </w:tc>
        <w:tc>
          <w:tcPr/>
          <w:p>
            <w:pPr>
              <w:pStyle w:val="Compact"/>
            </w:pPr>
            <w:r>
              <w:t xml:space="preserve">A2 launch</w:t>
            </w:r>
          </w:p>
        </w:tc>
      </w:tr>
      <w:tr>
        <w:tc>
          <w:tcPr/>
          <w:p>
            <w:pPr>
              <w:pStyle w:val="Compact"/>
            </w:pPr>
            <w:r>
              <w:t xml:space="preserve">W5 / Radiant Asymmetry</w:t>
            </w:r>
          </w:p>
        </w:tc>
        <w:tc>
          <w:tcPr/>
          <w:p>
            <w:pPr>
              <w:pStyle w:val="Compact"/>
            </w:pPr>
            <w:r>
              <w:t xml:space="preserve">How body geometry, orientation, view factors, glass, shade, pavement, and facade depth deliver uneven radiant flux. Diagnostic round: assess whether the design mitigation changes the actual exposure pathway.</w:t>
            </w:r>
          </w:p>
        </w:tc>
        <w:tc>
          <w:tcPr/>
          <w:p>
            <w:pPr>
              <w:pStyle w:val="Compact"/>
            </w:pPr>
            <w:r>
              <w:t xml:space="preserve">Submit A2 radiant exchange card with two-position comparison, body orientation, and design implication.</w:t>
            </w:r>
          </w:p>
        </w:tc>
        <w:tc>
          <w:tcPr/>
          <w:p>
            <w:pPr>
              <w:pStyle w:val="Compact"/>
            </w:pPr>
            <w:r>
              <w:t xml:space="preserve">View factor logic, radiant asymmetry, flux delivery, facade and shade design.</w:t>
            </w:r>
          </w:p>
        </w:tc>
        <w:tc>
          <w:tcPr/>
          <w:p>
            <w:pPr>
              <w:pStyle w:val="Compact"/>
            </w:pPr>
            <w:r>
              <w:t xml:space="preserve">A2 due</w:t>
            </w:r>
          </w:p>
        </w:tc>
      </w:tr>
      <w:tr>
        <w:tc>
          <w:tcPr/>
          <w:p>
            <w:pPr>
              <w:pStyle w:val="Compact"/>
            </w:pPr>
            <w:r>
              <w:t xml:space="preserve">W6 / Thermal Build-Up</w:t>
            </w:r>
          </w:p>
        </w:tc>
        <w:tc>
          <w:tcPr/>
          <w:p>
            <w:pPr>
              <w:pStyle w:val="Compact"/>
            </w:pPr>
            <w:r>
              <w:t xml:space="preserve">Heat capacity, thermal lag, storage, degree-hours, thresholds, condensation, mold risk, material moisture storage, and why failure can be cumulative. Includes anonymous Week 6 course-alignment pulse check. Diagnostic round: identify when heat or moisture accumulates.</w:t>
            </w:r>
          </w:p>
        </w:tc>
        <w:tc>
          <w:tcPr/>
          <w:p>
            <w:pPr>
              <w:pStyle w:val="Compact"/>
            </w:pPr>
            <w:r>
              <w:t xml:space="preserve">Start A3 temporal audit; select time window, threshold, and expected failure mechanism.</w:t>
            </w:r>
          </w:p>
        </w:tc>
        <w:tc>
          <w:tcPr/>
          <w:p>
            <w:pPr>
              <w:pStyle w:val="Compact"/>
            </w:pPr>
            <w:r>
              <w:rPr>
                <w:rStyle w:val="VerbatimChar"/>
              </w:rPr>
              <w:t xml:space="preserve">Q = m c Delta T</w:t>
            </w:r>
            <w:r>
              <w:t xml:space="preserve">,</w:t>
            </w:r>
            <w:r>
              <w:t xml:space="preserve"> </w:t>
            </w:r>
            <w:r>
              <w:rPr>
                <w:rStyle w:val="VerbatimChar"/>
              </w:rPr>
              <w:t xml:space="preserve">C dT/dt = gains - losses</w:t>
            </w:r>
            <w:r>
              <w:t xml:space="preserve">, degree-hours, thresholds, material moisture.</w:t>
            </w:r>
          </w:p>
        </w:tc>
        <w:tc>
          <w:tcPr/>
          <w:p>
            <w:pPr>
              <w:pStyle w:val="Compact"/>
            </w:pPr>
            <w:r>
              <w:t xml:space="preserve">A3 launch</w:t>
            </w:r>
          </w:p>
        </w:tc>
      </w:tr>
      <w:tr>
        <w:tc>
          <w:tcPr/>
          <w:p>
            <w:pPr>
              <w:pStyle w:val="Compact"/>
            </w:pPr>
            <w:r>
              <w:t xml:space="preserve">W7 / Simulation As Exposure-State Generator</w:t>
            </w:r>
          </w:p>
        </w:tc>
        <w:tc>
          <w:tcPr/>
          <w:p>
            <w:pPr>
              <w:pStyle w:val="Compact"/>
            </w:pPr>
            <w:r>
              <w:t xml:space="preserve">What simulation outputs are and are not; using EnergyPlus or prepared outputs to inspect hourly Ta, RH, MRT, operative temperature, surface temperature, and loads without treating the model as truth. Introduces airflow-network and CFD/Navier-Stokes solver literacy for claims about local air movement. Diagnostic round: what output would confirm or falsify the claim?</w:t>
            </w:r>
          </w:p>
        </w:tc>
        <w:tc>
          <w:tcPr/>
          <w:p>
            <w:pPr>
              <w:pStyle w:val="Compact"/>
            </w:pPr>
            <w:r>
              <w:t xml:space="preserve">Build an hourly state log or precomputed-output analysis for A3.</w:t>
            </w:r>
          </w:p>
        </w:tc>
        <w:tc>
          <w:tcPr/>
          <w:p>
            <w:pPr>
              <w:pStyle w:val="Compact"/>
            </w:pPr>
            <w:r>
              <w:t xml:space="preserve">EnergyPlus outputs, weather file, zone variables, model assumptions, airflow-network/CFD distinction, output inspection.</w:t>
            </w:r>
          </w:p>
        </w:tc>
        <w:tc>
          <w:tcPr/>
          <w:p>
            <w:pPr>
              <w:pStyle w:val="Compact"/>
            </w:pPr>
            <w:r>
              <w:t xml:space="preserve">A3 development</w:t>
            </w:r>
          </w:p>
        </w:tc>
      </w:tr>
      <w:tr>
        <w:tc>
          <w:tcPr/>
          <w:p>
            <w:pPr>
              <w:pStyle w:val="Compact"/>
            </w:pPr>
            <w:r>
              <w:t xml:space="preserve">W8 / Weather and Climate Stress</w:t>
            </w:r>
          </w:p>
        </w:tc>
        <w:tc>
          <w:tcPr/>
          <w:p>
            <w:pPr>
              <w:pStyle w:val="Compact"/>
            </w:pPr>
            <w:r>
              <w:t xml:space="preserve">Weather files, typical year versus heatwave period, future weather, GCM/RCM concepts, stress windows, indoor/outdoor continuity. Diagnostic round: how would the design behave under a different weather slice?</w:t>
            </w:r>
          </w:p>
        </w:tc>
        <w:tc>
          <w:tcPr/>
          <w:p>
            <w:pPr>
              <w:pStyle w:val="Compact"/>
            </w:pPr>
            <w:r>
              <w:t xml:space="preserve">Compare baseline temporal pattern against one changed weather or stress assumption.</w:t>
            </w:r>
          </w:p>
        </w:tc>
        <w:tc>
          <w:tcPr/>
          <w:p>
            <w:pPr>
              <w:pStyle w:val="Compact"/>
            </w:pPr>
            <w:r>
              <w:t xml:space="preserve">EPW/TMY, heatwave windows, future weather, GCM/RCM, climate-stress reading.</w:t>
            </w:r>
          </w:p>
        </w:tc>
        <w:tc>
          <w:tcPr/>
          <w:p>
            <w:pPr>
              <w:pStyle w:val="Compact"/>
            </w:pPr>
            <w:r>
              <w:t xml:space="preserve">A3 development</w:t>
            </w:r>
          </w:p>
        </w:tc>
      </w:tr>
      <w:tr>
        <w:tc>
          <w:tcPr/>
          <w:p>
            <w:pPr>
              <w:pStyle w:val="Compact"/>
            </w:pPr>
            <w:r>
              <w:t xml:space="preserve">W9 / What Does It Take?</w:t>
            </w:r>
          </w:p>
        </w:tc>
        <w:tc>
          <w:tcPr/>
          <w:p>
            <w:pPr>
              <w:pStyle w:val="Compact"/>
            </w:pPr>
            <w:r>
              <w:t xml:space="preserve">Turning evidence into action ladders: target definition, thresholds, found/censored outcomes, passive and active design moves, avoiding random green-feature shopping. Diagnostic round: propose minimum action that could shift the failure mechanism.</w:t>
            </w:r>
          </w:p>
        </w:tc>
        <w:tc>
          <w:tcPr/>
          <w:p>
            <w:pPr>
              <w:pStyle w:val="Compact"/>
            </w:pPr>
            <w:r>
              <w:t xml:space="preserve">Submit A3; launch A4 by selecting one design action route and validation assumption.</w:t>
            </w:r>
          </w:p>
        </w:tc>
        <w:tc>
          <w:tcPr/>
          <w:p>
            <w:pPr>
              <w:pStyle w:val="Compact"/>
            </w:pPr>
            <w:r>
              <w:t xml:space="preserve">Inverse question, action ladder, found/censored logic, intervention classes.</w:t>
            </w:r>
          </w:p>
        </w:tc>
        <w:tc>
          <w:tcPr/>
          <w:p>
            <w:pPr>
              <w:pStyle w:val="Compact"/>
            </w:pPr>
            <w:r>
              <w:t xml:space="preserve">A3 due / A4 launch</w:t>
            </w:r>
          </w:p>
        </w:tc>
      </w:tr>
      <w:tr>
        <w:tc>
          <w:tcPr/>
          <w:p>
            <w:pPr>
              <w:pStyle w:val="Compact"/>
            </w:pPr>
            <w:r>
              <w:t xml:space="preserve">W10 / Failure To Design Action</w:t>
            </w:r>
          </w:p>
        </w:tc>
        <w:tc>
          <w:tcPr/>
          <w:p>
            <w:pPr>
              <w:pStyle w:val="Compact"/>
            </w:pPr>
            <w:r>
              <w:t xml:space="preserve">Failure types and pivot logic: average, spatial, radiant, temporal, occupant, weather, model, or action-grid failure. Introduces suppress, buffer, redirect, and celebrate as four postures toward thermal heterogeneity. Diagnostic round: which architectural element must change, and what tradeoff appears?</w:t>
            </w:r>
          </w:p>
        </w:tc>
        <w:tc>
          <w:tcPr/>
          <w:p>
            <w:pPr>
              <w:pStyle w:val="Compact"/>
            </w:pPr>
            <w:r>
              <w:t xml:space="preserve">Develop A4 design alternatives and select one bounded intervention to defend.</w:t>
            </w:r>
          </w:p>
        </w:tc>
        <w:tc>
          <w:tcPr/>
          <w:p>
            <w:pPr>
              <w:pStyle w:val="Compact"/>
            </w:pPr>
            <w:r>
              <w:t xml:space="preserve">Failure thresholds, tradeoffs, design action alternatives, intervention posture, future-proofing implication.</w:t>
            </w:r>
          </w:p>
        </w:tc>
        <w:tc>
          <w:tcPr/>
          <w:p>
            <w:pPr>
              <w:pStyle w:val="Compact"/>
            </w:pPr>
            <w:r>
              <w:t xml:space="preserve">A4 development</w:t>
            </w:r>
          </w:p>
        </w:tc>
      </w:tr>
      <w:tr>
        <w:tc>
          <w:tcPr/>
          <w:p>
            <w:pPr>
              <w:pStyle w:val="Compact"/>
            </w:pPr>
            <w:r>
              <w:t xml:space="preserve">W11 / Roll-Forward Validation</w:t>
            </w:r>
          </w:p>
        </w:tc>
        <w:tc>
          <w:tcPr/>
          <w:p>
            <w:pPr>
              <w:pStyle w:val="Compact"/>
            </w:pPr>
            <w:r>
              <w:t xml:space="preserve">Does the action survive changed assumptions? Reproducibility, uncertainty, limits of claim, validation note, oral defense clinic. Diagnostic round: classmates test the weakest assumption in the proposed action.</w:t>
            </w:r>
          </w:p>
        </w:tc>
        <w:tc>
          <w:tcPr/>
          <w:p>
            <w:pPr>
              <w:pStyle w:val="Compact"/>
            </w:pPr>
            <w:r>
              <w:t xml:space="preserve">Submit A4 draft; revise evidence deck, design memo, validation note, and reproducibility capsule.</w:t>
            </w:r>
          </w:p>
        </w:tc>
        <w:tc>
          <w:tcPr/>
          <w:p>
            <w:pPr>
              <w:pStyle w:val="Compact"/>
            </w:pPr>
            <w:r>
              <w:t xml:space="preserve">Roll-forward validation, uncertainty statement, reproducibility, robust/weakened/censored/unsupported labels.</w:t>
            </w:r>
          </w:p>
        </w:tc>
        <w:tc>
          <w:tcPr/>
          <w:p>
            <w:pPr>
              <w:pStyle w:val="Compact"/>
            </w:pPr>
            <w:r>
              <w:t xml:space="preserve">A4 draft</w:t>
            </w:r>
          </w:p>
        </w:tc>
      </w:tr>
      <w:tr>
        <w:tc>
          <w:tcPr/>
          <w:p>
            <w:pPr>
              <w:pStyle w:val="Compact"/>
            </w:pPr>
            <w:r>
              <w:t xml:space="preserve">W12 / Thermal Fields Jury</w:t>
            </w:r>
          </w:p>
        </w:tc>
        <w:tc>
          <w:tcPr/>
          <w:p>
            <w:pPr>
              <w:pStyle w:val="Compact"/>
            </w:pPr>
            <w:r>
              <w:t xml:space="preserve">Final thermal design jury: condition, evidence, heterogeneity, failure mode, intervention, roll-forward result, architectural proposal, uncertainty, and next test.</w:t>
            </w:r>
          </w:p>
        </w:tc>
        <w:tc>
          <w:tcPr/>
          <w:p>
            <w:pPr>
              <w:pStyle w:val="Compact"/>
            </w:pPr>
            <w:r>
              <w:t xml:space="preserve">Submit A4 final package.</w:t>
            </w:r>
          </w:p>
        </w:tc>
        <w:tc>
          <w:tcPr/>
          <w:p>
            <w:pPr>
              <w:pStyle w:val="Compact"/>
            </w:pPr>
            <w:r>
              <w:t xml:space="preserve">Synthesis, defense, limits, design consequence.</w:t>
            </w:r>
          </w:p>
        </w:tc>
        <w:tc>
          <w:tcPr/>
          <w:p>
            <w:pPr>
              <w:pStyle w:val="Compact"/>
            </w:pPr>
            <w:r>
              <w:t xml:space="preserve">A4 due</w:t>
            </w:r>
          </w:p>
        </w:tc>
      </w:tr>
    </w:tbl>
    <w:bookmarkEnd w:id="24"/>
    <w:bookmarkStart w:id="25" w:name="iv.-required-reading"/>
    <w:p>
      <w:pPr>
        <w:pStyle w:val="Heading2"/>
      </w:pPr>
      <w:r>
        <w:t xml:space="preserve">IV. Required Reading</w:t>
      </w:r>
    </w:p>
    <w:p>
      <w:pPr>
        <w:pStyle w:val="Compact"/>
        <w:numPr>
          <w:ilvl w:val="0"/>
          <w:numId w:val="1001"/>
        </w:numPr>
      </w:pPr>
      <w:r>
        <w:t xml:space="preserve">Course handout: Portable Physics for Architectural Thermal Reasoning.</w:t>
      </w:r>
    </w:p>
    <w:p>
      <w:pPr>
        <w:pStyle w:val="Compact"/>
        <w:numPr>
          <w:ilvl w:val="0"/>
          <w:numId w:val="1001"/>
        </w:numPr>
      </w:pPr>
      <w:r>
        <w:t xml:space="preserve">Course handout: Sensing Thermal Fields and Radiant Translation.</w:t>
      </w:r>
    </w:p>
    <w:p>
      <w:pPr>
        <w:pStyle w:val="Compact"/>
        <w:numPr>
          <w:ilvl w:val="0"/>
          <w:numId w:val="1001"/>
        </w:numPr>
      </w:pPr>
      <w:r>
        <w:t xml:space="preserve">Course handout: Roll-Forward Validation and Thermal Design Defense.</w:t>
      </w:r>
    </w:p>
    <w:p>
      <w:pPr>
        <w:pStyle w:val="Compact"/>
        <w:numPr>
          <w:ilvl w:val="0"/>
          <w:numId w:val="1001"/>
        </w:numPr>
      </w:pPr>
      <w:r>
        <w:t xml:space="preserve">ASHRAE Standard 55, selected excerpts on thermal environmental conditions for human occupancy.</w:t>
      </w:r>
    </w:p>
    <w:p>
      <w:pPr>
        <w:pStyle w:val="Compact"/>
        <w:numPr>
          <w:ilvl w:val="0"/>
          <w:numId w:val="1001"/>
        </w:numPr>
      </w:pPr>
      <w:r>
        <w:t xml:space="preserve">EnergyPlus documentation, selected excerpts on weather files, zone output variables, air temperature, mean radiant temperature, operative temperature, humidity, and schedules.</w:t>
      </w:r>
    </w:p>
    <w:p>
      <w:pPr>
        <w:pStyle w:val="Compact"/>
        <w:numPr>
          <w:ilvl w:val="0"/>
          <w:numId w:val="1001"/>
        </w:numPr>
      </w:pPr>
      <w:r>
        <w:t xml:space="preserve">Hongshan Guo, selected research notes and publications from thermalcomfort.zone, course pack.</w:t>
      </w:r>
    </w:p>
    <w:bookmarkEnd w:id="25"/>
    <w:bookmarkStart w:id="26" w:name="v.-recommended-reading"/>
    <w:p>
      <w:pPr>
        <w:pStyle w:val="Heading2"/>
      </w:pPr>
      <w:r>
        <w:t xml:space="preserve">V. Recommended Reading</w:t>
      </w:r>
    </w:p>
    <w:p>
      <w:pPr>
        <w:pStyle w:val="Compact"/>
        <w:numPr>
          <w:ilvl w:val="0"/>
          <w:numId w:val="1002"/>
        </w:numPr>
      </w:pPr>
      <w:r>
        <w:t xml:space="preserve">Fanger, P. O. Thermal Comfort: Analysis and Applications in Environmental Engineering, selected excerpts.</w:t>
      </w:r>
    </w:p>
    <w:p>
      <w:pPr>
        <w:pStyle w:val="Compact"/>
        <w:numPr>
          <w:ilvl w:val="0"/>
          <w:numId w:val="1002"/>
        </w:numPr>
      </w:pPr>
      <w:r>
        <w:t xml:space="preserve">de Dear, R. and Brager, G., selected work on adaptive comfort.</w:t>
      </w:r>
    </w:p>
    <w:p>
      <w:pPr>
        <w:pStyle w:val="Compact"/>
        <w:numPr>
          <w:ilvl w:val="0"/>
          <w:numId w:val="1002"/>
        </w:numPr>
      </w:pPr>
      <w:r>
        <w:t xml:space="preserve">Olgyay, V. Design with Climate, selected excerpts.</w:t>
      </w:r>
    </w:p>
    <w:p>
      <w:pPr>
        <w:pStyle w:val="Compact"/>
        <w:numPr>
          <w:ilvl w:val="0"/>
          <w:numId w:val="1002"/>
        </w:numPr>
      </w:pPr>
      <w:r>
        <w:t xml:space="preserve">Szokolay, S. Introduction to Architectural Science, selected excerpts.</w:t>
      </w:r>
    </w:p>
    <w:p>
      <w:pPr>
        <w:pStyle w:val="Compact"/>
        <w:numPr>
          <w:ilvl w:val="0"/>
          <w:numId w:val="1002"/>
        </w:numPr>
      </w:pPr>
      <w:r>
        <w:t xml:space="preserve">Givoni, B. Man, Climate and Architecture, selected excerpts.</w:t>
      </w:r>
    </w:p>
    <w:p>
      <w:pPr>
        <w:pStyle w:val="Compact"/>
        <w:numPr>
          <w:ilvl w:val="0"/>
          <w:numId w:val="1002"/>
        </w:numPr>
      </w:pPr>
      <w:r>
        <w:t xml:space="preserve">Selected papers on radiant thermal environments, thermal sensing, indoor/outdoor microclimate, comfort-model uncertainty, heat stress, and climate-responsive design, course pack.</w:t>
      </w:r>
    </w:p>
    <w:p>
      <w:pPr>
        <w:pStyle w:val="Compact"/>
        <w:numPr>
          <w:ilvl w:val="0"/>
          <w:numId w:val="1002"/>
        </w:numPr>
      </w:pPr>
      <w:r>
        <w:t xml:space="preserve">Optional technical references on OpenStudio/EnergyPlus, Ladybug/Honeybee, pythermalcomfort, and CFD-lite workflows.</w:t>
      </w:r>
    </w:p>
    <w:bookmarkEnd w:id="26"/>
    <w:bookmarkStart w:id="28" w:name="vi.-assessment-standards-and-tasks"/>
    <w:p>
      <w:pPr>
        <w:pStyle w:val="Heading2"/>
      </w:pPr>
      <w:r>
        <w:t xml:space="preserve">VI. Assessment Standards and Tasks</w:t>
      </w:r>
    </w:p>
    <w:p>
      <w:pPr>
        <w:pStyle w:val="FirstParagraph"/>
      </w:pPr>
      <w:r>
        <w:t xml:space="preserve">Students should refer to the Department Curriculum Guide for University, Faculty, Program and Track level Standards of Assessment, including grade descriptors and marking rubrics.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Assessment Task</w:t>
            </w:r>
          </w:p>
        </w:tc>
        <w:tc>
          <w:tcPr/>
          <w:p>
            <w:pPr>
              <w:pStyle w:val="Compact"/>
            </w:pPr>
            <w:r>
              <w:t xml:space="preserve">Due</w:t>
            </w:r>
          </w:p>
        </w:tc>
        <w:tc>
          <w:tcPr/>
          <w:p>
            <w:pPr>
              <w:pStyle w:val="Compact"/>
              <w:jc w:val="right"/>
            </w:pPr>
            <w:r>
              <w:t xml:space="preserve">Weighting</w:t>
            </w:r>
          </w:p>
        </w:tc>
        <w:tc>
          <w:tcPr/>
          <w:p>
            <w:pPr>
              <w:pStyle w:val="Compact"/>
            </w:pPr>
            <w:r>
              <w:t xml:space="preserve">What students submit</w:t>
            </w:r>
          </w:p>
        </w:tc>
      </w:tr>
      <w:tr>
        <w:tc>
          <w:tcPr/>
          <w:p>
            <w:pPr>
              <w:pStyle w:val="Compact"/>
            </w:pPr>
            <w:r>
              <w:t xml:space="preserve">A1 Spatial Air Field Map</w:t>
            </w:r>
          </w:p>
        </w:tc>
        <w:tc>
          <w:tcPr/>
          <w:p>
            <w:pPr>
              <w:pStyle w:val="Compact"/>
            </w:pPr>
            <w:r>
              <w:t xml:space="preserve">Week 3</w:t>
            </w:r>
          </w:p>
        </w:tc>
        <w:tc>
          <w:tcPr/>
          <w:p>
            <w:pPr>
              <w:pStyle w:val="Compact"/>
              <w:jc w:val="right"/>
            </w:pPr>
            <w:r>
              <w:t xml:space="preserve">20%</w:t>
            </w:r>
          </w:p>
        </w:tc>
        <w:tc>
          <w:tcPr/>
          <w:p>
            <w:pPr>
              <w:pStyle w:val="Compact"/>
            </w:pPr>
            <w:r>
              <w:t xml:space="preserve">One plan or section showing Ta/RH sensing or observation points; optional contour/heat-map interpolation with points visible; spatial gradient; protocol; time stamp; one defended thermal claim; one stated evidence limit.</w:t>
            </w:r>
          </w:p>
        </w:tc>
      </w:tr>
      <w:tr>
        <w:tc>
          <w:tcPr/>
          <w:p>
            <w:pPr>
              <w:pStyle w:val="Compact"/>
            </w:pPr>
            <w:r>
              <w:t xml:space="preserve">A2 Radiant Exchange Card</w:t>
            </w:r>
          </w:p>
        </w:tc>
        <w:tc>
          <w:tcPr/>
          <w:p>
            <w:pPr>
              <w:pStyle w:val="Compact"/>
            </w:pPr>
            <w:r>
              <w:t xml:space="preserve">Week 5</w:t>
            </w:r>
          </w:p>
        </w:tc>
        <w:tc>
          <w:tcPr/>
          <w:p>
            <w:pPr>
              <w:pStyle w:val="Compact"/>
              <w:jc w:val="right"/>
            </w:pPr>
            <w:r>
              <w:t xml:space="preserve">20%</w:t>
            </w:r>
          </w:p>
        </w:tc>
        <w:tc>
          <w:tcPr/>
          <w:p>
            <w:pPr>
              <w:pStyle w:val="Compact"/>
            </w:pPr>
            <w:r>
              <w:t xml:space="preserve">Two-position radiant comparison; body orientation; relevant surface temperatures or radiant proxy; air-versus-radiant distinction; one architectural implication.</w:t>
            </w:r>
          </w:p>
        </w:tc>
      </w:tr>
      <w:tr>
        <w:tc>
          <w:tcPr/>
          <w:p>
            <w:pPr>
              <w:pStyle w:val="Compact"/>
            </w:pPr>
            <w:r>
              <w:t xml:space="preserve">A3 Temporal Build-Up Audit</w:t>
            </w:r>
          </w:p>
        </w:tc>
        <w:tc>
          <w:tcPr/>
          <w:p>
            <w:pPr>
              <w:pStyle w:val="Compact"/>
            </w:pPr>
            <w:r>
              <w:t xml:space="preserve">Week 9</w:t>
            </w:r>
          </w:p>
        </w:tc>
        <w:tc>
          <w:tcPr/>
          <w:p>
            <w:pPr>
              <w:pStyle w:val="Compact"/>
              <w:jc w:val="right"/>
            </w:pPr>
            <w:r>
              <w:t xml:space="preserve">25%</w:t>
            </w:r>
          </w:p>
        </w:tc>
        <w:tc>
          <w:tcPr/>
          <w:p>
            <w:pPr>
              <w:pStyle w:val="Compact"/>
            </w:pPr>
            <w:r>
              <w:t xml:space="preserve">Time-series or hourly output; selected threshold; degree-hour or exceedance calculation; failure statement; explanation of thermal capacity, lag, moisture, or exposure duration.</w:t>
            </w:r>
          </w:p>
        </w:tc>
      </w:tr>
      <w:tr>
        <w:tc>
          <w:tcPr/>
          <w:p>
            <w:pPr>
              <w:pStyle w:val="Compact"/>
            </w:pPr>
            <w:r>
              <w:t xml:space="preserve">A4 Mechanism-Informed Thermal Design Intervention</w:t>
            </w:r>
          </w:p>
        </w:tc>
        <w:tc>
          <w:tcPr/>
          <w:p>
            <w:pPr>
              <w:pStyle w:val="Compact"/>
            </w:pPr>
            <w:r>
              <w:t xml:space="preserve">Week 11 draft / Week 12 final</w:t>
            </w:r>
          </w:p>
        </w:tc>
        <w:tc>
          <w:tcPr/>
          <w:p>
            <w:pPr>
              <w:pStyle w:val="Compact"/>
              <w:jc w:val="right"/>
            </w:pPr>
            <w:r>
              <w:t xml:space="preserve">35%</w:t>
            </w:r>
          </w:p>
        </w:tc>
        <w:tc>
          <w:tcPr/>
          <w:p>
            <w:pPr>
              <w:pStyle w:val="Compact"/>
            </w:pPr>
            <w:r>
              <w:t xml:space="preserve">Evidence deck; design action memo; before/after or action-ladder comparison; roll-forward validation note; uncertainty statement; reproducibility capsule; final oral defense.</w:t>
            </w:r>
          </w:p>
        </w:tc>
      </w:tr>
    </w:tbl>
    <w:bookmarkStart w:id="27" w:name="a4-scope"/>
    <w:p>
      <w:pPr>
        <w:pStyle w:val="Heading3"/>
      </w:pPr>
      <w:r>
        <w:t xml:space="preserve">A4 Scope</w:t>
      </w:r>
    </w:p>
    <w:p>
      <w:pPr>
        <w:pStyle w:val="FirstParagraph"/>
      </w:pPr>
      <w:r>
        <w:t xml:space="preserve">A4 is assembled from A1-A3. It should not be restarted from scratch in Weeks 10-12. The final package asks each student to choose one thermal condition and one bounded action route:</w:t>
      </w:r>
    </w:p>
    <w:p>
      <w:pPr>
        <w:pStyle w:val="Compact"/>
        <w:numPr>
          <w:ilvl w:val="0"/>
          <w:numId w:val="1003"/>
        </w:numPr>
      </w:pPr>
      <w:r>
        <w:t xml:space="preserve">room or interior condition;</w:t>
      </w:r>
    </w:p>
    <w:p>
      <w:pPr>
        <w:pStyle w:val="Compact"/>
        <w:numPr>
          <w:ilvl w:val="0"/>
          <w:numId w:val="1003"/>
        </w:numPr>
      </w:pPr>
      <w:r>
        <w:t xml:space="preserve">facade, envelope, or roof edge;</w:t>
      </w:r>
    </w:p>
    <w:p>
      <w:pPr>
        <w:pStyle w:val="Compact"/>
        <w:numPr>
          <w:ilvl w:val="0"/>
          <w:numId w:val="1003"/>
        </w:numPr>
      </w:pPr>
      <w:r>
        <w:t xml:space="preserve">outdoor or threshold microclimate;</w:t>
      </w:r>
    </w:p>
    <w:p>
      <w:pPr>
        <w:pStyle w:val="Compact"/>
        <w:numPr>
          <w:ilvl w:val="0"/>
          <w:numId w:val="1003"/>
        </w:numPr>
      </w:pPr>
      <w:r>
        <w:t xml:space="preserve">operational, air-movement, or control choice.</w:t>
      </w:r>
    </w:p>
    <w:p>
      <w:pPr>
        <w:pStyle w:val="FirstParagraph"/>
      </w:pPr>
      <w:r>
        <w:t xml:space="preserve">Every A4 submission must include one roll-forward validation note. The required version changes one stress assumption, such as hotter week, heatwave period, changed occupancy, changed window/glazing assumption, current versus future-adjusted weather, or different stress-window length. Students label the outcome as robust, weakened, censored, or unsupported. Multi-window or multi-weather reruns are encouraged for distinction-level work when they improve architectural judgment, but they are not required for basic completion.</w:t>
      </w:r>
    </w:p>
    <w:p>
      <w:pPr>
        <w:pStyle w:val="BodyText"/>
      </w:pPr>
      <w:r>
        <w:t xml:space="preserve">The A4 action does not need to flatten all thermal difference. Students may suppress a harmful heterogeneity, buffer or redirect exposure, or deliberately celebrate a beneficial heterogeneity such as a cool refuge, breezy threshold, warm winter seat, or shaded humid garden edge. In all cases, the mechanism, body consequence, evidence limit, and climate-stress risk must be stated.</w:t>
      </w:r>
    </w:p>
    <w:bookmarkEnd w:id="27"/>
    <w:bookmarkEnd w:id="28"/>
    <w:bookmarkStart w:id="29" w:name="X319453df4da7c4ace93faa98bf2869a5e64521d"/>
    <w:p>
      <w:pPr>
        <w:pStyle w:val="Heading2"/>
      </w:pPr>
      <w:r>
        <w:t xml:space="preserve">VII. Proportion of Teaching, Learning and Examination Activities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Activities</w:t>
            </w:r>
          </w:p>
        </w:tc>
        <w:tc>
          <w:tcPr/>
          <w:p>
            <w:pPr>
              <w:pStyle w:val="Compact"/>
              <w:jc w:val="right"/>
            </w:pPr>
            <w:r>
              <w:t xml:space="preserve">Number of hours</w:t>
            </w:r>
          </w:p>
        </w:tc>
      </w:tr>
      <w:tr>
        <w:tc>
          <w:tcPr/>
          <w:p>
            <w:pPr>
              <w:pStyle w:val="Compact"/>
            </w:pPr>
            <w:r>
              <w:t xml:space="preserve">Lectures / Seminars / Diagnostic Rounds (contact)</w:t>
            </w:r>
          </w:p>
        </w:tc>
        <w:tc>
          <w:tcPr/>
          <w:p>
            <w:pPr>
              <w:pStyle w:val="Compact"/>
              <w:jc w:val="right"/>
            </w:pPr>
            <w:r>
              <w:t xml:space="preserve">12 x 2h = 24h</w:t>
            </w:r>
          </w:p>
        </w:tc>
      </w:tr>
      <w:tr>
        <w:tc>
          <w:tcPr/>
          <w:p>
            <w:pPr>
              <w:pStyle w:val="Compact"/>
            </w:pPr>
            <w:r>
              <w:t xml:space="preserve">Reading / Self-study</w:t>
            </w:r>
          </w:p>
        </w:tc>
        <w:tc>
          <w:tcPr/>
          <w:p>
            <w:pPr>
              <w:pStyle w:val="Compact"/>
              <w:jc w:val="right"/>
            </w:pPr>
            <w:r>
              <w:t xml:space="preserve">8h</w:t>
            </w:r>
          </w:p>
        </w:tc>
      </w:tr>
      <w:tr>
        <w:tc>
          <w:tcPr/>
          <w:p>
            <w:pPr>
              <w:pStyle w:val="Compact"/>
            </w:pPr>
            <w:r>
              <w:t xml:space="preserve">Assessment: A1 Spatial Air Field Map</w:t>
            </w:r>
          </w:p>
        </w:tc>
        <w:tc>
          <w:tcPr/>
          <w:p>
            <w:pPr>
              <w:pStyle w:val="Compact"/>
              <w:jc w:val="right"/>
            </w:pPr>
            <w:r>
              <w:t xml:space="preserve">14h</w:t>
            </w:r>
          </w:p>
        </w:tc>
      </w:tr>
      <w:tr>
        <w:tc>
          <w:tcPr/>
          <w:p>
            <w:pPr>
              <w:pStyle w:val="Compact"/>
            </w:pPr>
            <w:r>
              <w:t xml:space="preserve">Assessment: A2 Radiant Exchange Card</w:t>
            </w:r>
          </w:p>
        </w:tc>
        <w:tc>
          <w:tcPr/>
          <w:p>
            <w:pPr>
              <w:pStyle w:val="Compact"/>
              <w:jc w:val="right"/>
            </w:pPr>
            <w:r>
              <w:t xml:space="preserve">16h</w:t>
            </w:r>
          </w:p>
        </w:tc>
      </w:tr>
      <w:tr>
        <w:tc>
          <w:tcPr/>
          <w:p>
            <w:pPr>
              <w:pStyle w:val="Compact"/>
            </w:pPr>
            <w:r>
              <w:t xml:space="preserve">Assessment: A3 Temporal Build-Up Audit</w:t>
            </w:r>
          </w:p>
        </w:tc>
        <w:tc>
          <w:tcPr/>
          <w:p>
            <w:pPr>
              <w:pStyle w:val="Compact"/>
              <w:jc w:val="right"/>
            </w:pPr>
            <w:r>
              <w:t xml:space="preserve">20h</w:t>
            </w:r>
          </w:p>
        </w:tc>
      </w:tr>
      <w:tr>
        <w:tc>
          <w:tcPr/>
          <w:p>
            <w:pPr>
              <w:pStyle w:val="Compact"/>
            </w:pPr>
            <w:r>
              <w:t xml:space="preserve">Assessment: A4 Mechanism-Informed Thermal Design Intervention</w:t>
            </w:r>
          </w:p>
        </w:tc>
        <w:tc>
          <w:tcPr/>
          <w:p>
            <w:pPr>
              <w:pStyle w:val="Compact"/>
              <w:jc w:val="right"/>
            </w:pPr>
            <w:r>
              <w:t xml:space="preserve">30h</w:t>
            </w:r>
          </w:p>
        </w:tc>
      </w:tr>
      <w:tr>
        <w:tc>
          <w:tcPr/>
          <w:p>
            <w:pPr>
              <w:pStyle w:val="Compact"/>
            </w:pPr>
            <w:r>
              <w:t xml:space="preserve">Session 2 preparation and peer feedback</w:t>
            </w:r>
          </w:p>
        </w:tc>
        <w:tc>
          <w:tcPr/>
          <w:p>
            <w:pPr>
              <w:pStyle w:val="Compact"/>
              <w:jc w:val="right"/>
            </w:pPr>
            <w:r>
              <w:t xml:space="preserve">6h</w:t>
            </w:r>
          </w:p>
        </w:tc>
      </w:tr>
      <w:tr>
        <w:tc>
          <w:tcPr/>
          <w:p>
            <w:pPr>
              <w:pStyle w:val="Compact"/>
            </w:pPr>
            <w:r>
              <w:t xml:space="preserve">Presentation polish and final upload</w:t>
            </w:r>
          </w:p>
        </w:tc>
        <w:tc>
          <w:tcPr/>
          <w:p>
            <w:pPr>
              <w:pStyle w:val="Compact"/>
              <w:jc w:val="right"/>
            </w:pPr>
            <w:r>
              <w:t xml:space="preserve">2h</w:t>
            </w:r>
          </w:p>
        </w:tc>
      </w:tr>
      <w:tr>
        <w:tc>
          <w:tcPr/>
          <w:p>
            <w:pPr>
              <w:pStyle w:val="Compact"/>
            </w:pPr>
            <w:r>
              <w:t xml:space="preserve">Total out-of-class</w:t>
            </w:r>
          </w:p>
        </w:tc>
        <w:tc>
          <w:tcPr/>
          <w:p>
            <w:pPr>
              <w:pStyle w:val="Compact"/>
              <w:jc w:val="right"/>
            </w:pPr>
            <w:r>
              <w:t xml:space="preserve">96h</w:t>
            </w:r>
          </w:p>
        </w:tc>
      </w:tr>
      <w:tr>
        <w:tc>
          <w:tcPr/>
          <w:p>
            <w:pPr>
              <w:pStyle w:val="Compact"/>
            </w:pPr>
            <w:r>
              <w:t xml:space="preserve">Grand total (contact + out-of-class)</w:t>
            </w:r>
          </w:p>
        </w:tc>
        <w:tc>
          <w:tcPr/>
          <w:p>
            <w:pPr>
              <w:pStyle w:val="Compact"/>
              <w:jc w:val="right"/>
            </w:pPr>
            <w:r>
              <w:t xml:space="preserve">120h</w:t>
            </w:r>
          </w:p>
        </w:tc>
      </w:tr>
    </w:tbl>
    <w:bookmarkEnd w:id="29"/>
    <w:bookmarkStart w:id="30" w:name="viii.-guest-speakers"/>
    <w:p>
      <w:pPr>
        <w:pStyle w:val="Heading2"/>
      </w:pPr>
      <w:r>
        <w:t xml:space="preserve">VIII. Guest Speakers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Name</w:t>
            </w:r>
          </w:p>
        </w:tc>
        <w:tc>
          <w:tcPr/>
          <w:p>
            <w:pPr>
              <w:pStyle w:val="Compact"/>
            </w:pPr>
            <w:r>
              <w:t xml:space="preserve">Sessions</w:t>
            </w:r>
          </w:p>
        </w:tc>
        <w:tc>
          <w:tcPr/>
          <w:p>
            <w:pPr>
              <w:pStyle w:val="Compact"/>
              <w:jc w:val="right"/>
            </w:pPr>
            <w:r>
              <w:t xml:space="preserve">Hours</w:t>
            </w:r>
          </w:p>
        </w:tc>
      </w:tr>
      <w:tr>
        <w:tc>
          <w:tcPr/>
          <w:p>
            <w:pPr>
              <w:pStyle w:val="Compact"/>
            </w:pPr>
            <w:r>
              <w:t xml:space="preserve">TBC</w:t>
            </w:r>
          </w:p>
        </w:tc>
        <w:tc>
          <w:tcPr/>
          <w:p>
            <w:pPr>
              <w:pStyle w:val="Compact"/>
            </w:pPr>
            <w:r>
              <w:t xml:space="preserve">Radiant sensing / climate-stress design / final jury or methods clinic</w:t>
            </w:r>
          </w:p>
        </w:tc>
        <w:tc>
          <w:tcPr/>
          <w:p>
            <w:pPr>
              <w:pStyle w:val="Compact"/>
              <w:jc w:val="right"/>
            </w:pPr>
            <w:r>
              <w:t xml:space="preserve">&lt;= 2h</w:t>
            </w:r>
          </w:p>
        </w:tc>
      </w:tr>
    </w:tbl>
    <w:bookmarkEnd w:id="30"/>
    <w:bookmarkStart w:id="31" w:name="ix.-statement-of-academic-conduct"/>
    <w:p>
      <w:pPr>
        <w:pStyle w:val="Heading2"/>
      </w:pPr>
      <w:r>
        <w:t xml:space="preserve">IX. Statement of Academic Conduct</w:t>
      </w:r>
    </w:p>
    <w:p>
      <w:pPr>
        <w:pStyle w:val="FirstParagraph"/>
      </w:pPr>
      <w:r>
        <w:t xml:space="preserve">All written work in this course will be submitted for plagiarism review via Turnitin, at http://turnitin.com. Clarification of the University of Hong Kong’s policies on plagiarism, as well as detailed descriptions of how to properly cite and source material in written work and examinations, is available at http://www.hku.hk/plagiarism. Plagiarism includes handing in the work of another as one’s own, and failure to appropriately cite sources. Plagiarism is an academic misdemeanor, and may be considered grounds for failure from this course as well as further disciplinary action from the University.</w:t>
      </w:r>
    </w:p>
    <w:p>
      <w:pPr>
        <w:pStyle w:val="BodyText"/>
      </w:pPr>
      <w:r>
        <w:t xml:space="preserve">Students must adhere to HKU policies on academic integrity, research ethics, privacy, and responsible use of digital tools. All submissions must be original and properly cited. Where AI assistance is used to generate or assess text, code, figures, scripts, calculations, or workflow components, students must declare the use, state what was checked, and retain enough process documentation for review. AI outputs must not be treated as final evidence. Factual claims should be checked against reliable sources; relationship-based claims should be checked against physical reasoning, empirical evidence, sensitivity tests, or bounded calculations; workflow/code outputs should be run and tested with known cases.</w:t>
      </w:r>
    </w:p>
    <w:p>
      <w:pPr>
        <w:pStyle w:val="BodyText"/>
      </w:pPr>
      <w:r>
        <w:t xml:space="preserve">Course-specific expectations:</w:t>
      </w:r>
    </w:p>
    <w:p>
      <w:pPr>
        <w:pStyle w:val="Compact"/>
        <w:numPr>
          <w:ilvl w:val="0"/>
          <w:numId w:val="1004"/>
        </w:numPr>
      </w:pPr>
      <w:r>
        <w:t xml:space="preserve">Testability - if direct data are unavailable, students should test the physics, spatial logic, or threshold rule behind the claim with a small proxy, prepared output, transparent comparison, or bounded calculation.</w:t>
      </w:r>
    </w:p>
    <w:p>
      <w:pPr>
        <w:pStyle w:val="Compact"/>
        <w:numPr>
          <w:ilvl w:val="0"/>
          <w:numId w:val="1004"/>
        </w:numPr>
      </w:pPr>
      <w:r>
        <w:t xml:space="preserve">Evidence tiers - students should state whether evidence is field observation, sensor data, precedent, standard, proxy test, simulation, or professional assumption.</w:t>
      </w:r>
    </w:p>
    <w:p>
      <w:pPr>
        <w:pStyle w:val="Compact"/>
        <w:numPr>
          <w:ilvl w:val="0"/>
          <w:numId w:val="1004"/>
        </w:numPr>
      </w:pPr>
      <w:r>
        <w:t xml:space="preserve">Clarity over complexity - a correct map, table, or time-series is better than an opaque technical workflow.</w:t>
      </w:r>
    </w:p>
    <w:p>
      <w:pPr>
        <w:pStyle w:val="Compact"/>
        <w:numPr>
          <w:ilvl w:val="0"/>
          <w:numId w:val="1004"/>
        </w:numPr>
      </w:pPr>
      <w:r>
        <w:t xml:space="preserve">Decision threshold - students should state what result would justify adopting, revising, or deferring a design move.</w:t>
      </w:r>
    </w:p>
    <w:p>
      <w:pPr>
        <w:pStyle w:val="Compact"/>
        <w:numPr>
          <w:ilvl w:val="0"/>
          <w:numId w:val="1004"/>
        </w:numPr>
      </w:pPr>
      <w:r>
        <w:t xml:space="preserve">Data ethics and privacy - if people, images, phones, sensors, or identifiable behavior are involved, students should minimize collection, avoid intrusive monitoring, remove names/IDs, store files appropriately, and state a deletion date where relevant.</w:t>
      </w:r>
    </w:p>
    <w:p>
      <w:pPr>
        <w:pStyle w:val="Compact"/>
        <w:numPr>
          <w:ilvl w:val="0"/>
          <w:numId w:val="1004"/>
        </w:numPr>
      </w:pPr>
      <w:r>
        <w:t xml:space="preserve">Reproducibility - figures, thresholds, and claims should be traceable from the submitted capsule.</w:t>
      </w:r>
    </w:p>
    <w:p>
      <w:pPr>
        <w:pStyle w:val="Compact"/>
        <w:numPr>
          <w:ilvl w:val="0"/>
          <w:numId w:val="1004"/>
        </w:numPr>
      </w:pPr>
      <w:r>
        <w:t xml:space="preserve">Limits of claim - students should clearly state what was not measured, not simulated, averaged away, or outside the tested action space.</w:t>
      </w:r>
    </w:p>
    <w:bookmarkEnd w:id="31"/>
    <w:bookmarkStart w:id="32" w:name="x.-reassessment"/>
    <w:p>
      <w:pPr>
        <w:pStyle w:val="Heading2"/>
      </w:pPr>
      <w:r>
        <w:t xml:space="preserve">X. Reassessment</w:t>
      </w:r>
    </w:p>
    <w:p>
      <w:pPr>
        <w:pStyle w:val="FirstParagraph"/>
      </w:pPr>
      <w:r>
        <w:t xml:space="preserve">N/A.</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2026-06-24T00:04:40Z</dcterms:created>
  <dcterms:modified xsi:type="dcterms:W3CDTF">2026-06-24T00:04:40Z</dcterms:modified>
</cp:coreProperties>
</file>

<file path=docProps/custom.xml><?xml version="1.0" encoding="utf-8"?>
<Properties xmlns="http://schemas.openxmlformats.org/officeDocument/2006/custom-properties" xmlns:vt="http://schemas.openxmlformats.org/officeDocument/2006/docPropsVTypes"/>
</file>