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960"/>
        <w:jc w:val="center"/>
      </w:pPr>
      <w:r>
        <w:rPr>
          <w:rFonts w:ascii="Times New Roman" w:hAnsi="Times New Roman"/>
          <w:b/>
          <w:sz w:val="28"/>
        </w:rPr>
        <w:t>Hidden Spatial Intelligence: Revealing Thermal Comfort Heterogeneity Through Occupant-Level Heat-Balance Assessment</w:t>
      </w:r>
    </w:p>
    <w:p>
      <w:pPr>
        <w:spacing w:before="120" w:after="120"/>
      </w:pPr>
      <w:r>
        <w:rPr>
          <w:rFonts w:ascii="Times New Roman" w:hAnsi="Times New Roman"/>
          <w:b/>
          <w:sz w:val="24"/>
        </w:rPr>
        <w:t>Abstract</w:t>
      </w:r>
    </w:p>
    <w:p>
      <w:pPr>
        <w:spacing w:after="120"/>
        <w:jc w:val="both"/>
      </w:pPr>
      <w:r>
        <w:rPr>
          <w:rFonts w:ascii="Times New Roman" w:hAnsi="Times New Roman"/>
          <w:sz w:val="24"/>
        </w:rPr>
        <w:t>Floor plans carry thermal consequences that conventional representations cannot show. A south-facing bedroom occupied by an older resident can produce a fundamentally different thermal experience than a north-facing studio used by a younger desk worker, even under the same setpoint. This paper presents a spatial comfort assessment framework that makes that hidden differentiation legible by distributing individually characterized occupant agents across a gridded floor plan and computing ISO 7730 heat-balance decomposition per agent, turning anticipated design conditions into a population-level thermal field rather than a zone-level average. Applied to a 24-room apartment under 120 scenarios (five air temperatures, four humidity levels, six occupant cohorts spanning demographic and behavioral variation), the framework produces 2,520 agent-level records and per-agent JSON snapshots carrying full convective, radiative, evaporative, and respiratory heat-loss breakdowns. In the apartment case, room-level PMV spans range from roughly one to nearly four units within a single plan under uniform setpoints. A secondary office counterfactual on the same footprint shows that partition topology redistributes discomfort more than it resolves it: open plans preserve perimeter-to-core thermal inequality that cellular layouts suppress through room averaging. Orientation-driven mean radiant temperature offsets shift radiative heat loss by about 5 W/m², while cohort configurations involving clothing and activity shift convective and radiative loss by similar magnitudes. Spatial organization is not a passive container for thermal conditions. It is an active participant in who gets comfortable and who does not.</w:t>
      </w:r>
    </w:p>
    <w:p>
      <w:pPr>
        <w:spacing w:after="240"/>
      </w:pPr>
      <w:r>
        <w:rPr>
          <w:rFonts w:ascii="Times New Roman" w:hAnsi="Times New Roman"/>
          <w:i/>
          <w:sz w:val="24"/>
        </w:rPr>
        <w:t>Keywords: thermal comfort, spatial intelligence, heat-balance decomposition, PMV, floor plan assessment</w:t>
      </w:r>
    </w:p>
    <w:p>
      <w:pPr>
        <w:spacing w:before="120" w:after="120"/>
      </w:pPr>
      <w:r>
        <w:rPr>
          <w:rFonts w:ascii="Times New Roman" w:hAnsi="Times New Roman"/>
          <w:b/>
          <w:sz w:val="24"/>
        </w:rPr>
        <w:t>1 Introduction</w:t>
      </w:r>
    </w:p>
    <w:p>
      <w:pPr>
        <w:spacing w:after="120"/>
        <w:jc w:val="both"/>
      </w:pPr>
      <w:r>
        <w:rPr>
          <w:rFonts w:ascii="Times New Roman" w:hAnsi="Times New Roman"/>
          <w:sz w:val="24"/>
        </w:rPr>
        <w:t>Architectural design is always directed toward occupants, yet early environmental reasoning often treats those occupants as generic. Standard workflows reduce a building to conditioned zones and report average temperatures and aggregate loads. The embedded assumption is that if the thermostat is set appropriately, the zone is comfortable and the people inside it are effectively interchangeable.</w:t>
      </w:r>
    </w:p>
    <w:p>
      <w:pPr>
        <w:spacing w:after="120"/>
        <w:jc w:val="both"/>
      </w:pPr>
      <w:r>
        <w:rPr>
          <w:rFonts w:ascii="Times New Roman" w:hAnsi="Times New Roman"/>
          <w:sz w:val="24"/>
        </w:rPr>
        <w:t>That assumption does not survive contact with an actual floor plan. Under the same 25°C setpoint, mean radiant temperature varies by orientation, air velocity varies by room function, and occupants themselves modulate the thermal balance through their age, body mass, clothing, and activity. A south-facing bedroom occupied by an older resident in light clothing produces a fundamentally different thermal experience than a north-facing kitchen with a younger person standing and cooking. The plan encodes this differentiation. Conventional tools and drawings do not surface it.</w:t>
      </w:r>
    </w:p>
    <w:p>
      <w:pPr>
        <w:spacing w:after="120"/>
        <w:jc w:val="both"/>
      </w:pPr>
      <w:r>
        <w:rPr>
          <w:rFonts w:ascii="Times New Roman" w:hAnsi="Times New Roman"/>
          <w:sz w:val="24"/>
        </w:rPr>
        <w:t>The gap this creates is not merely technical. It is representational. Architects make decisions about room assignment, partition placement, glazing, and orientation during early design, long before any occupant sets foot in the building. Those decisions carry thermal consequences for specific kinds of people, yet the standard zone-level model collapses those consequences into a single average. The plan communicates spatial intent. It does not communicate who will be comfortable and who will not.</w:t>
      </w:r>
    </w:p>
    <w:p>
      <w:pPr>
        <w:spacing w:after="120"/>
        <w:jc w:val="both"/>
      </w:pPr>
      <w:r>
        <w:rPr>
          <w:rFonts w:ascii="Times New Roman" w:hAnsi="Times New Roman"/>
          <w:sz w:val="24"/>
        </w:rPr>
        <w:t>This paper presents a framework that closes that representational gap. By distributing individually characterized occupant agents across a gridded floor plan and computing ISO 7730 heat-balance decomposition per agent, the framework translates anticipated design conditions into a population-level thermal field readable at the resolution where design decisions happen. The result is not an optimization dashboard. It is a design-facing analytical drawing that makes the thermal consequences of spatial decisions visible before construction.</w:t>
      </w:r>
    </w:p>
    <w:p>
      <w:pPr>
        <w:spacing w:after="120"/>
        <w:jc w:val="both"/>
      </w:pPr>
      <w:r>
        <w:rPr>
          <w:rFonts w:ascii="Times New Roman" w:hAnsi="Times New Roman"/>
          <w:sz w:val="24"/>
        </w:rPr>
        <w:t>The framework combines three input layers—spatial geometry, room-level environmental conditions, and individually characterized occupant agents—and produces per-agent JSON snapshots carrying full heat-loss decomposition alongside demographic, spatial, and preference context. Applied to a 24-room apartment under 120 scenarios and extended to an office topology counterfactual on the same footprint, the case study demonstrates that spatial organization and body configuration produce comparable magnitudes of thermal heterogeneity, and that partition topology reshapes the visibility of discomfort more than it resolves the discomfort itself.</w:t>
      </w:r>
    </w:p>
    <w:p>
      <w:pPr>
        <w:spacing w:after="120"/>
        <w:jc w:val="both"/>
      </w:pPr>
      <w:r>
        <w:rPr>
          <w:rFonts w:ascii="Times New Roman" w:hAnsi="Times New Roman"/>
          <w:sz w:val="24"/>
        </w:rPr>
        <w:t>The contribution is not a new dynamic simulation method. It is a lightweight, deterministic representational instrument for early design: one that reveals where a given plan becomes population-conditioned and spatially fragile, where comfort outcomes diverge sharply across occupant profiles and room positions, and where room assignment, orientation, partition placement, glazing specification, and environmental setpoints carry consequences that conventional zone-level analysis does not show.</w:t>
      </w:r>
    </w:p>
    <w:p>
      <w:pPr>
        <w:spacing w:before="120" w:after="120"/>
      </w:pPr>
      <w:r>
        <w:rPr>
          <w:rFonts w:ascii="Times New Roman" w:hAnsi="Times New Roman"/>
          <w:b/>
          <w:sz w:val="24"/>
        </w:rPr>
        <w:t>2 Related Work</w:t>
      </w:r>
    </w:p>
    <w:p>
      <w:pPr>
        <w:spacing w:after="120"/>
        <w:jc w:val="both"/>
      </w:pPr>
      <w:r>
        <w:rPr>
          <w:rFonts w:ascii="Times New Roman" w:hAnsi="Times New Roman"/>
          <w:sz w:val="24"/>
        </w:rPr>
        <w:t>Fanger’s Predicted Mean Vote model (Fanger 1970), codified in ISO 7730 (ISO 2005) and ASHRAE Standard 55 (ASHRAE 2020), remains the primary analytical framework for assessing steady-state thermal comfort in mechanically conditioned buildings. The model resolves the six-variable heat balance—air temperature, mean radiant temperature, relative humidity, air velocity, metabolic rate, and clothing insulation—into a single-index prediction of occupant thermal sensation. Its strength lies in its traceability: every intermediate quantity, from clothing surface temperature to convective film coefficient, is computable and auditable.</w:t>
      </w:r>
    </w:p>
    <w:p>
      <w:pPr>
        <w:spacing w:after="120"/>
        <w:jc w:val="both"/>
      </w:pPr>
      <w:r>
        <w:rPr>
          <w:rFonts w:ascii="Times New Roman" w:hAnsi="Times New Roman"/>
          <w:sz w:val="24"/>
        </w:rPr>
        <w:t>In practice, however, the PMV model is typically applied at the zone level. The CBE Thermal Comfort Tool (Tartarini et al. 2020) provides an accessible web-based calculator for evaluating individual conditions but does not map comfort across spatial layouts. Building performance simulation platforms such as EnergyPlus (Crawley et al. 2008) produce zone-level temperature and humidity outputs that feed PMV calculations, but the spatial resolution stops at the zone boundary—room-to-room gradients within a single dwelling are collapsed. Higher-fidelity approaches including computational fluid dynamics and zonal models (Megri and Haghighat 2007) can resolve spatial thermal fields but require substantial modeling effort and computational time, placing them outside the workflow of most architectural designers.</w:t>
      </w:r>
    </w:p>
    <w:p>
      <w:pPr>
        <w:spacing w:after="120"/>
        <w:jc w:val="both"/>
      </w:pPr>
      <w:r>
        <w:rPr>
          <w:rFonts w:ascii="Times New Roman" w:hAnsi="Times New Roman"/>
          <w:sz w:val="24"/>
        </w:rPr>
        <w:t>Agent-based modeling has a longer history in architectural research, primarily for pedestrian movement simulation, evacuation analysis, and space utilization studies (Yan and Kalay 2006). Agents serve as spatial probes: by distributing synthetic occupants across a design and tracking their experience, patterns emerge that static analysis cannot reveal. Extending the agent metaphor to thermal comfort—placing thermally characterized agents on a floor plan and computing their individual heat balance—is the approach this paper takes.</w:t>
      </w:r>
    </w:p>
    <w:p>
      <w:pPr>
        <w:spacing w:after="120"/>
        <w:jc w:val="both"/>
      </w:pPr>
      <w:r>
        <w:rPr>
          <w:rFonts w:ascii="Times New Roman" w:hAnsi="Times New Roman"/>
          <w:sz w:val="24"/>
        </w:rPr>
        <w:t>Adaptive comfort models (de Dear and Brager 1998; Nicol and Humphreys 2002) have broadened the theoretical frame beyond PMV by incorporating occupant behavioral adaptation, but these models are most applicable to naturally ventilated buildings and do not decompose the heat balance into spatial components.</w:t>
      </w:r>
    </w:p>
    <w:p>
      <w:pPr>
        <w:spacing w:after="120"/>
        <w:jc w:val="both"/>
      </w:pPr>
      <w:r>
        <w:rPr>
          <w:rFonts w:ascii="Times New Roman" w:hAnsi="Times New Roman"/>
          <w:sz w:val="24"/>
        </w:rPr>
        <w:t>More broadly, computational architecture has developed a tradition of making latent spatial performance visible through analysis feedback. Space Syntax (Hillier and Hanson 1984) revealed measurable connectivity and integration patterns in plans that were invisible to inspection alone. Daylighting analysis, pedestrian simulation, and acoustic mapping followed the same pattern: translating a spatial design into a performance field that designers can read and act on. The framework presented here extends this tradition to thermal comfort at the individual occupant level. The plan is treated not as a container to be conditioned uniformly but as a differentiated field whose spatial organization produces heterogeneous thermal outcomes that are recoverable through computation.</w:t>
      </w:r>
    </w:p>
    <w:p>
      <w:pPr>
        <w:spacing w:before="120" w:after="120"/>
      </w:pPr>
      <w:r>
        <w:rPr>
          <w:rFonts w:ascii="Times New Roman" w:hAnsi="Times New Roman"/>
          <w:b/>
          <w:sz w:val="24"/>
        </w:rPr>
        <w:t>3 Methods</w:t>
      </w:r>
    </w:p>
    <w:p>
      <w:pPr>
        <w:spacing w:before="0" w:after="120"/>
      </w:pPr>
      <w:r>
        <w:rPr>
          <w:rFonts w:ascii="Times New Roman" w:hAnsi="Times New Roman"/>
          <w:sz w:val="24"/>
        </w:rPr>
        <w:t>3.1 Framework Overview</w:t>
      </w:r>
    </w:p>
    <w:p>
      <w:pPr>
        <w:spacing w:after="120"/>
        <w:jc w:val="both"/>
      </w:pPr>
      <w:r>
        <w:rPr>
          <w:rFonts w:ascii="Times New Roman" w:hAnsi="Times New Roman"/>
          <w:sz w:val="24"/>
        </w:rPr>
        <w:t>The framework operates on three input layers (Figure 1). The first is spatial geometry: a grid-based floor plan with rooms defined as contiguous sets of cells, bounded by walls and connected by doors and openings. The second is environmental conditions: each room carries a static set of anticipated design parameters (air temperature, mean radiant temperature, relative humidity, air velocity, illuminance, and background noise level) assigned from design specifications rather than simulated. The third is occupant agents: individually placed persons characterized by demographics, clothing insulation, activity level, and preferences.</w:t>
      </w:r>
    </w:p>
    <w:p>
      <w:pPr>
        <w:spacing w:after="120"/>
        <w:jc w:val="both"/>
      </w:pPr>
      <w:r>
        <w:rPr>
          <w:rFonts w:ascii="Times New Roman" w:hAnsi="Times New Roman"/>
          <w:sz w:val="24"/>
        </w:rPr>
        <w:t>The framework is structured to accept any floor plan that can be segmented into rooms with assigned environmental conditions. Geometry enters through an assisted PDF import tool that traces architectural drawings onto the working grid, or through a direct Rhino export pathway. The apartment presented in this paper is one instance; the pipeline is structured to accommodate other typologies (offices, healthcare facilities, educational buildings) provided room-level conditions can be reasonably anticipated, though these have not been validated in the current study. An online version of the geometry import and assessment tools is available (URL withheld for anonymous review).</w:t>
      </w:r>
    </w:p>
    <w:p>
      <w:pPr>
        <w:spacing w:after="120"/>
        <w:jc w:val="both"/>
      </w:pPr>
      <w:r>
        <w:rPr>
          <w:rFonts w:ascii="Times New Roman" w:hAnsi="Times New Roman"/>
          <w:sz w:val="24"/>
        </w:rPr>
        <w:t>These three layers feed a deterministic heat-balance engine that computes ISO 7730 PMV and full thermal decomposition per agent. The computation is not a simulation in the dynamic sense: room states do not evolve over time, and occupant heat gains do not feed back into room conditions. The tool evaluates the instantaneous thermal balance at each agent’s position given the specified conditions. This is a calculation, not a simulation. The distinction is deliberate: the framework runs instantly and produces fully traceable results, enabling rapid iteration during design.</w:t>
      </w:r>
    </w:p>
    <w:p>
      <w:pPr>
        <w:spacing w:after="120"/>
        <w:jc w:val="both"/>
      </w:pPr>
      <w:r>
        <w:rPr>
          <w:rFonts w:ascii="Times New Roman" w:hAnsi="Times New Roman"/>
          <w:sz w:val="24"/>
        </w:rPr>
        <w:t>The per-agent output is a structured JSON snapshot (Figure 2) carrying the full context of one occupant’s experience: environment, spatial position, computed thermal state with heat-loss decomposition, demographics, and preferences. The record is computationally grounded in empirical heat-transfer relationships while remaining structured for downstream consumption by analytical or interpretive tools.</w:t>
      </w:r>
    </w:p>
    <w:p>
      <w:pPr>
        <w:spacing w:before="120" w:after="60"/>
        <w:jc w:val="center"/>
      </w:pPr>
      <w:r>
        <w:drawing>
          <wp:inline xmlns:a="http://schemas.openxmlformats.org/drawingml/2006/main" xmlns:pic="http://schemas.openxmlformats.org/drawingml/2006/picture">
            <wp:extent cx="5943600" cy="2713917"/>
            <wp:docPr id="1" name="Picture 1"/>
            <wp:cNvGraphicFramePr>
              <a:graphicFrameLocks noChangeAspect="1"/>
            </wp:cNvGraphicFramePr>
            <a:graphic>
              <a:graphicData uri="http://schemas.openxmlformats.org/drawingml/2006/picture">
                <pic:pic>
                  <pic:nvPicPr>
                    <pic:cNvPr id="0" name="fig0_framework_pipeline_hires.png"/>
                    <pic:cNvPicPr/>
                  </pic:nvPicPr>
                  <pic:blipFill>
                    <a:blip r:embed="rId20"/>
                    <a:stretch>
                      <a:fillRect/>
                    </a:stretch>
                  </pic:blipFill>
                  <pic:spPr>
                    <a:xfrm>
                      <a:off x="0" y="0"/>
                      <a:ext cx="5943600" cy="2713917"/>
                    </a:xfrm>
                    <a:prstGeom prst="rect"/>
                  </pic:spPr>
                </pic:pic>
              </a:graphicData>
            </a:graphic>
          </wp:inline>
        </w:drawing>
      </w:r>
    </w:p>
    <w:p>
      <w:pPr>
        <w:spacing w:after="240"/>
      </w:pPr>
      <w:r>
        <w:rPr>
          <w:rFonts w:ascii="Times New Roman" w:hAnsi="Times New Roman"/>
          <w:i/>
          <w:sz w:val="20"/>
        </w:rPr>
        <w:t>Figure 1.  Workflow from plan authoring to batch outputs. PDF- or Rhino-derived geometry is simplified into a grid-based template, enriched with room conditions and occupant cohorts, then evaluated by thermBAL’s deterministic heat-balance engine to produce PMV maps, comparative plots, and per-agent JSON snapshots.</w:t>
      </w:r>
    </w:p>
    <w:p>
      <w:pPr>
        <w:spacing w:before="120" w:after="60"/>
        <w:jc w:val="center"/>
      </w:pPr>
      <w:r>
        <w:drawing>
          <wp:inline xmlns:a="http://schemas.openxmlformats.org/drawingml/2006/main" xmlns:pic="http://schemas.openxmlformats.org/drawingml/2006/picture">
            <wp:extent cx="4572000" cy="6450794"/>
            <wp:docPr id="2" name="Picture 2"/>
            <wp:cNvGraphicFramePr>
              <a:graphicFrameLocks noChangeAspect="1"/>
            </wp:cNvGraphicFramePr>
            <a:graphic>
              <a:graphicData uri="http://schemas.openxmlformats.org/drawingml/2006/picture">
                <pic:pic>
                  <pic:nvPicPr>
                    <pic:cNvPr id="0" name="Physics_Occupant.png"/>
                    <pic:cNvPicPr/>
                  </pic:nvPicPr>
                  <pic:blipFill>
                    <a:blip r:embed="rId21"/>
                    <a:stretch>
                      <a:fillRect/>
                    </a:stretch>
                  </pic:blipFill>
                  <pic:spPr>
                    <a:xfrm>
                      <a:off x="0" y="0"/>
                      <a:ext cx="4572000" cy="6450794"/>
                    </a:xfrm>
                    <a:prstGeom prst="rect"/>
                  </pic:spPr>
                </pic:pic>
              </a:graphicData>
            </a:graphic>
          </wp:inline>
        </w:drawing>
      </w:r>
    </w:p>
    <w:p>
      <w:pPr>
        <w:spacing w:after="240"/>
      </w:pPr>
      <w:r>
        <w:rPr>
          <w:rFonts w:ascii="Times New Roman" w:hAnsi="Times New Roman"/>
          <w:i/>
          <w:sz w:val="20"/>
        </w:rPr>
        <w:t>Figure 2.  Occupant perception map showing the structured snapshot for one agent. The record carries environment, spatial context, computed thermal state with heat-loss decomposition, agent demographics, and subjective preferences.</w:t>
      </w:r>
    </w:p>
    <w:p>
      <w:pPr>
        <w:spacing w:before="0" w:after="120"/>
      </w:pPr>
      <w:r>
        <w:rPr>
          <w:rFonts w:ascii="Times New Roman" w:hAnsi="Times New Roman"/>
          <w:sz w:val="24"/>
        </w:rPr>
        <w:t>3.2 Thermal Computation</w:t>
      </w:r>
    </w:p>
    <w:p>
      <w:pPr>
        <w:spacing w:after="120"/>
        <w:jc w:val="both"/>
      </w:pPr>
      <w:r>
        <w:rPr>
          <w:rFonts w:ascii="Times New Roman" w:hAnsi="Times New Roman"/>
          <w:sz w:val="24"/>
        </w:rPr>
        <w:t>The thermal core implements the standard ISO 7730 iterative procedure. Metabolic rate is estimated from occupant demographics using the Mifflin-St Jeor basal metabolic rate equation (Mifflin et al. 1990) scaled by a Du Bois body surface area estimate (Du Bois and Du Bois 1916), then adjusted by an activity multiplier corresponding to seated, standing, or walking postures. Clothing insulation converts to the intrinsic thermal resistance of the clothing ensemble.</w:t>
      </w:r>
    </w:p>
    <w:p>
      <w:pPr>
        <w:spacing w:after="120"/>
        <w:jc w:val="both"/>
      </w:pPr>
      <w:r>
        <w:rPr>
          <w:rFonts w:ascii="Times New Roman" w:hAnsi="Times New Roman"/>
          <w:sz w:val="24"/>
        </w:rPr>
        <w:t>The iterative solver finds the clothing surface temperature at which the heat-balance equation is satisfied, then computes each outgoing heat-transfer pathway independently: convective loss from the clothing surface to ambient air, radiative exchange between the clothing surface and surrounding surfaces at the mean radiant temperature, evaporative loss through skin diffusion and regulatory sweating, and respiratory heat loss through convection and evaporation in the lungs. These four components—reported in watts per square meter of body surface area—are preserved in the agent snapshot alongside the aggregate PMV and PPD values. It is this decomposition that enables the spatial analysis presented in the results: by examining which heat-loss channel varies across rooms or across occupant profiles, the framework reveals the physical mechanism driving comfort heterogeneity, not merely its summary index.</w:t>
      </w:r>
    </w:p>
    <w:p>
      <w:pPr>
        <w:spacing w:before="0" w:after="120"/>
      </w:pPr>
      <w:r>
        <w:rPr>
          <w:rFonts w:ascii="Times New Roman" w:hAnsi="Times New Roman"/>
          <w:sz w:val="24"/>
        </w:rPr>
        <w:t>3.3 Case Study Design</w:t>
      </w:r>
    </w:p>
    <w:p>
      <w:pPr>
        <w:spacing w:after="120"/>
        <w:jc w:val="both"/>
      </w:pPr>
      <w:r>
        <w:rPr>
          <w:rFonts w:ascii="Times New Roman" w:hAnsi="Times New Roman"/>
          <w:sz w:val="24"/>
        </w:rPr>
        <w:t>To demonstrate the framework on a realistic plan, the case study uses a 24-room apartment traced from architectural drawings through the PDF import pipeline. The plan is discretized onto a 32×24 meter grid at one-meter cell resolution (Figure 3). Twenty-one rooms are occupied; three circulation zones are excluded. The apartment was selected as a reasonably generic residential typology; the framework is equally applicable to any plan that can be segmented into rooms with assigned conditions.</w:t>
      </w:r>
    </w:p>
    <w:p>
      <w:pPr>
        <w:spacing w:after="120"/>
        <w:jc w:val="both"/>
      </w:pPr>
      <w:r>
        <w:rPr>
          <w:rFonts w:ascii="Times New Roman" w:hAnsi="Times New Roman"/>
          <w:sz w:val="24"/>
        </w:rPr>
        <w:t>Environmental conditions are assigned deterministically rather than simulated. Air temperature and relative humidity are set uniformly across the apartment for each scenario, representing a centrally conditioned dwelling. Mean radiant temperature is differentiated by solar exposure: south-facing rooms receive a +1.5 K offset above air temperature, east- and west-facing rooms receive +0.75 K, and north-facing or interior rooms receive no offset. Air velocity is assigned by room function: 0.08 m/s for bedrooms, 0.12 m/s for day spaces, 0.15 m/s for the kitchen, 0.08 m/s for bath and laundry spaces, and 0.10 m/s for the remaining support rooms. These values represent typical conditions in a mechanically cooled apartment during daytime operation.</w:t>
      </w:r>
    </w:p>
    <w:p>
      <w:pPr>
        <w:spacing w:after="120"/>
        <w:jc w:val="both"/>
      </w:pPr>
      <w:r>
        <w:rPr>
          <w:rFonts w:ascii="Times New Roman" w:hAnsi="Times New Roman"/>
          <w:sz w:val="24"/>
        </w:rPr>
        <w:t>Six occupant cohorts are defined to span a range of demographic and behavioral profiles: a mixed-gender young cohort (ages 25–45), a male-only control, an age-shifted cohort (+50 years), a higher-clothing sedentary cohort, a lighter-clothing mobile cohort, and a higher-BMI cohort. Within each cohort, individual agent demographics are generated from a seeded random process producing variation in age, height, weight, and sex assignment across the 21 occupied rooms. Clothing insulation and activity level are assigned by room function and modified by cohort definition.</w:t>
      </w:r>
    </w:p>
    <w:p>
      <w:pPr>
        <w:spacing w:after="120"/>
        <w:jc w:val="both"/>
      </w:pPr>
      <w:r>
        <w:rPr>
          <w:rFonts w:ascii="Times New Roman" w:hAnsi="Times New Roman"/>
          <w:sz w:val="24"/>
        </w:rPr>
        <w:t>The climate sweep covers five air temperatures (20.0, 22.0, 23.5, 25.0, 28.0°C) and four relative humidity levels (35, 55, 75, 80%), producing 20 environmental conditions per cohort and 120 scenarios total. Each scenario places 21 agents—one per occupied room—yielding 2,520 individual agent records with full heat-balance decomposition.</w:t>
      </w:r>
    </w:p>
    <w:p>
      <w:pPr>
        <w:spacing w:before="120" w:after="60"/>
        <w:jc w:val="center"/>
      </w:pPr>
      <w:r>
        <w:drawing>
          <wp:inline xmlns:a="http://schemas.openxmlformats.org/drawingml/2006/main" xmlns:pic="http://schemas.openxmlformats.org/drawingml/2006/picture">
            <wp:extent cx="5943600" cy="3412067"/>
            <wp:docPr id="3" name="Picture 3"/>
            <wp:cNvGraphicFramePr>
              <a:graphicFrameLocks noChangeAspect="1"/>
            </wp:cNvGraphicFramePr>
            <a:graphic>
              <a:graphicData uri="http://schemas.openxmlformats.org/drawingml/2006/picture">
                <pic:pic>
                  <pic:nvPicPr>
                    <pic:cNvPr id="0" name="fig1_apartment_plan_hires.png"/>
                    <pic:cNvPicPr/>
                  </pic:nvPicPr>
                  <pic:blipFill>
                    <a:blip r:embed="rId22"/>
                    <a:stretch>
                      <a:fillRect/>
                    </a:stretch>
                  </pic:blipFill>
                  <pic:spPr>
                    <a:xfrm>
                      <a:off x="0" y="0"/>
                      <a:ext cx="5943600" cy="3412067"/>
                    </a:xfrm>
                    <a:prstGeom prst="rect"/>
                  </pic:spPr>
                </pic:pic>
              </a:graphicData>
            </a:graphic>
          </wp:inline>
        </w:drawing>
      </w:r>
    </w:p>
    <w:p>
      <w:pPr>
        <w:spacing w:after="240"/>
      </w:pPr>
      <w:r>
        <w:rPr>
          <w:rFonts w:ascii="Times New Roman" w:hAnsi="Times New Roman"/>
          <w:i/>
          <w:sz w:val="20"/>
        </w:rPr>
        <w:t>Figure 3.  Apartment plan with 24 rooms classified by solar exposure. South-facing rooms receive a mean radiant temperature offset of +1.5 K; east/west rooms receive +0.75 K; north and interior rooms receive no offset.</w:t>
      </w:r>
    </w:p>
    <w:p>
      <w:pPr>
        <w:spacing w:before="120" w:after="120"/>
      </w:pPr>
      <w:r>
        <w:rPr>
          <w:rFonts w:ascii="Times New Roman" w:hAnsi="Times New Roman"/>
          <w:b/>
          <w:sz w:val="24"/>
        </w:rPr>
        <w:t>4 Results</w:t>
      </w:r>
    </w:p>
    <w:p>
      <w:pPr>
        <w:spacing w:before="0" w:after="120"/>
      </w:pPr>
      <w:r>
        <w:rPr>
          <w:rFonts w:ascii="Times New Roman" w:hAnsi="Times New Roman"/>
          <w:sz w:val="24"/>
        </w:rPr>
        <w:t>4.1 Spatial Comfort Heterogeneity Under Varying Design Conditions</w:t>
      </w:r>
    </w:p>
    <w:p>
      <w:pPr>
        <w:spacing w:after="120"/>
        <w:jc w:val="both"/>
      </w:pPr>
      <w:r>
        <w:rPr>
          <w:rFonts w:ascii="Times New Roman" w:hAnsi="Times New Roman"/>
          <w:sz w:val="24"/>
        </w:rPr>
        <w:t>Figure 4 presents the central result as a three-by-three matrix of apartment plans colored by occupant PMV. Columns correspond to three occupant cohorts (higher clothing, young mixed, and age-shifted), and rows correspond to three air temperature setpoints (20, 25, and 28°C), all at 55% relative humidity. Reading horizontally across any row reveals the body-configuration effect: at the same temperature, the higher-clothing cohort shows consistently milder thermal stress than the age-shifted cohort, with mean PMV differences of roughly 1.1 to 2.4 units across the shown setpoints. Reading vertically down any column reveals the design-condition effect: raising the setpoint from 20 to 28°C shifts the entire comfort landscape from deep cold stress to near-neutral or mildly warm conditions for some cohorts while older occupants remain cooler overall.</w:t>
      </w:r>
    </w:p>
    <w:p>
      <w:pPr>
        <w:spacing w:after="120"/>
        <w:jc w:val="both"/>
      </w:pPr>
      <w:r>
        <w:rPr>
          <w:rFonts w:ascii="Times New Roman" w:hAnsi="Times New Roman"/>
          <w:sz w:val="24"/>
        </w:rPr>
        <w:t>Critically, the spatial pattern within the plan is visible at every combination. South-facing rooms consistently appear warmer than north-facing rooms due to the mean radiant temperature offset, producing a legible thermal gradient across the plan that persists regardless of cohort or setpoint. The framework makes this gradient—encoded in the spatial organization but invisible in conventional plan representations—directly visible.</w:t>
      </w:r>
    </w:p>
    <w:p>
      <w:pPr>
        <w:spacing w:before="120" w:after="60"/>
        <w:jc w:val="center"/>
      </w:pPr>
      <w:r>
        <w:drawing>
          <wp:inline xmlns:a="http://schemas.openxmlformats.org/drawingml/2006/main" xmlns:pic="http://schemas.openxmlformats.org/drawingml/2006/picture">
            <wp:extent cx="5943600" cy="5826642"/>
            <wp:docPr id="4" name="Picture 4"/>
            <wp:cNvGraphicFramePr>
              <a:graphicFrameLocks noChangeAspect="1"/>
            </wp:cNvGraphicFramePr>
            <a:graphic>
              <a:graphicData uri="http://schemas.openxmlformats.org/drawingml/2006/picture">
                <pic:pic>
                  <pic:nvPicPr>
                    <pic:cNvPr id="0" name="fig2_design_matrix_hires.png"/>
                    <pic:cNvPicPr/>
                  </pic:nvPicPr>
                  <pic:blipFill>
                    <a:blip r:embed="rId23"/>
                    <a:stretch>
                      <a:fillRect/>
                    </a:stretch>
                  </pic:blipFill>
                  <pic:spPr>
                    <a:xfrm>
                      <a:off x="0" y="0"/>
                      <a:ext cx="5943600" cy="5826642"/>
                    </a:xfrm>
                    <a:prstGeom prst="rect"/>
                  </pic:spPr>
                </pic:pic>
              </a:graphicData>
            </a:graphic>
          </wp:inline>
        </w:drawing>
      </w:r>
    </w:p>
    <w:p>
      <w:pPr>
        <w:spacing w:after="240"/>
      </w:pPr>
      <w:r>
        <w:rPr>
          <w:rFonts w:ascii="Times New Roman" w:hAnsi="Times New Roman"/>
          <w:i/>
          <w:sz w:val="20"/>
        </w:rPr>
        <w:t>Figure 4.  Same spatial design under varying conditions and bodies. Columns: three occupant cohorts. Rows: three air temperature setpoints (20, 25, 28°C). Room color encodes occupant PMV clamped to [−3, +1.5]. All scenarios at 55% RH.</w:t>
      </w:r>
    </w:p>
    <w:p>
      <w:pPr>
        <w:spacing w:before="0" w:after="120"/>
      </w:pPr>
      <w:r>
        <w:rPr>
          <w:rFonts w:ascii="Times New Roman" w:hAnsi="Times New Roman"/>
          <w:sz w:val="24"/>
        </w:rPr>
        <w:t>4.2 Quantified Comfort Span</w:t>
      </w:r>
    </w:p>
    <w:p>
      <w:pPr>
        <w:spacing w:after="120"/>
        <w:jc w:val="both"/>
      </w:pPr>
      <w:r>
        <w:rPr>
          <w:rFonts w:ascii="Times New Roman" w:hAnsi="Times New Roman"/>
          <w:sz w:val="24"/>
        </w:rPr>
        <w:t>Figure 5 presents the comfort span as a strip chart plotting each occupant’s PMV across five air temperatures for three cohorts. Each dot represents one agent in one room; marker shape encodes solar exposure. Several patterns are immediately apparent.</w:t>
      </w:r>
    </w:p>
    <w:p>
      <w:pPr>
        <w:spacing w:after="120"/>
        <w:jc w:val="both"/>
      </w:pPr>
      <w:r>
        <w:rPr>
          <w:rFonts w:ascii="Times New Roman" w:hAnsi="Times New Roman"/>
          <w:sz w:val="24"/>
        </w:rPr>
        <w:t>First, within any cohort column at any temperature, the vertical spread of dots spans roughly one to nearly four PMV units depending on cohort and setpoint. This is the spatial component of the heterogeneity: the floor plan produces meaningfully different thermal conditions room to room even under a uniform setpoint. Second, between cohort columns at the same temperature, the cohort means separate by roughly one to more than two PMV units. The spatial and demographic effects compound. Third, south-facing rooms (triangular markers) consistently plot above north-facing rooms (circular markers) within each cohort, confirming that the MRT gradient from orientation is a persistent and legible spatial signal. Fourth, the span narrows as temperature increases toward the comfort zone, but it does not disappear, indicating that the spatial intelligence encoded in the plan is a structural feature of the design, not an artifact of extreme conditions.</w:t>
      </w:r>
    </w:p>
    <w:p>
      <w:pPr>
        <w:spacing w:before="120" w:after="60"/>
        <w:jc w:val="center"/>
      </w:pPr>
      <w:r>
        <w:drawing>
          <wp:inline xmlns:a="http://schemas.openxmlformats.org/drawingml/2006/main" xmlns:pic="http://schemas.openxmlformats.org/drawingml/2006/picture">
            <wp:extent cx="5943600" cy="3665019"/>
            <wp:docPr id="5" name="Picture 5"/>
            <wp:cNvGraphicFramePr>
              <a:graphicFrameLocks noChangeAspect="1"/>
            </wp:cNvGraphicFramePr>
            <a:graphic>
              <a:graphicData uri="http://schemas.openxmlformats.org/drawingml/2006/picture">
                <pic:pic>
                  <pic:nvPicPr>
                    <pic:cNvPr id="0" name="fig3_comfort_span_hires.png"/>
                    <pic:cNvPicPr/>
                  </pic:nvPicPr>
                  <pic:blipFill>
                    <a:blip r:embed="rId24"/>
                    <a:stretch>
                      <a:fillRect/>
                    </a:stretch>
                  </pic:blipFill>
                  <pic:spPr>
                    <a:xfrm>
                      <a:off x="0" y="0"/>
                      <a:ext cx="5943600" cy="3665019"/>
                    </a:xfrm>
                    <a:prstGeom prst="rect"/>
                  </pic:spPr>
                </pic:pic>
              </a:graphicData>
            </a:graphic>
          </wp:inline>
        </w:drawing>
      </w:r>
    </w:p>
    <w:p>
      <w:pPr>
        <w:spacing w:after="240"/>
      </w:pPr>
      <w:r>
        <w:rPr>
          <w:rFonts w:ascii="Times New Roman" w:hAnsi="Times New Roman"/>
          <w:i/>
          <w:sz w:val="20"/>
        </w:rPr>
        <w:t>Figure 5.  Comfort span across design conditions. Each dot is one occupant; horizontal bars show cohort mean. Marker shape encodes solar exposure. Depending on cohort and setpoint, the within-plan PMV spread ranges from roughly 1 to nearly 4 units and narrows toward the comfort zone without disappearing.</w:t>
      </w:r>
    </w:p>
    <w:p>
      <w:pPr>
        <w:spacing w:before="0" w:after="120"/>
      </w:pPr>
      <w:r>
        <w:rPr>
          <w:rFonts w:ascii="Times New Roman" w:hAnsi="Times New Roman"/>
          <w:sz w:val="24"/>
        </w:rPr>
        <w:t>4.3 Heat-Balance Decomposition</w:t>
      </w:r>
    </w:p>
    <w:p>
      <w:pPr>
        <w:spacing w:after="120"/>
        <w:jc w:val="both"/>
      </w:pPr>
      <w:r>
        <w:rPr>
          <w:rFonts w:ascii="Times New Roman" w:hAnsi="Times New Roman"/>
          <w:sz w:val="24"/>
        </w:rPr>
        <w:t>Figure 6 presents the heat-loss decomposition for the young mixed cohort at 25°C and 55% relative humidity. Each horizontal bar represents one occupied room, sorted by total heat loss and divided into convective, radiative, evaporative, and respiratory components. Exposure zone is indicated by color chips on the left margin; mean radiant temperature and air velocity are annotated on the right.</w:t>
      </w:r>
    </w:p>
    <w:p>
      <w:pPr>
        <w:spacing w:after="120"/>
        <w:jc w:val="both"/>
      </w:pPr>
      <w:r>
        <w:rPr>
          <w:rFonts w:ascii="Times New Roman" w:hAnsi="Times New Roman"/>
          <w:sz w:val="24"/>
        </w:rPr>
        <w:t>Total heat loss ranges from 58 to 69 W/m² across the 21 rooms. The variation is driven primarily by two spatial factors. The radiative component drops approximately five watts per square meter from north-facing rooms (mean radiant temperature equal to air temperature) to south-facing rooms (mean radiant temperature 1.5 K above air temperature). This is the thermal signature of solar exposure encoded in the plan’s orientation. The convective component peaks in the kitchen at 28.1 W/m², driven by the higher assigned air velocity of 0.15 m/s, compared to 22–23 W/m² in bedrooms at 0.08 m/s. Evaporative and respiratory losses are comparatively uniform across rooms, contributing approximately 11 and 4 W/m² respectively, and varying primarily with individual metabolic rate rather than room conditions.</w:t>
      </w:r>
    </w:p>
    <w:p>
      <w:pPr>
        <w:spacing w:before="120" w:after="60"/>
        <w:jc w:val="center"/>
      </w:pPr>
      <w:r>
        <w:drawing>
          <wp:inline xmlns:a="http://schemas.openxmlformats.org/drawingml/2006/main" xmlns:pic="http://schemas.openxmlformats.org/drawingml/2006/picture">
            <wp:extent cx="5486400" cy="4326280"/>
            <wp:docPr id="6" name="Picture 6"/>
            <wp:cNvGraphicFramePr>
              <a:graphicFrameLocks noChangeAspect="1"/>
            </wp:cNvGraphicFramePr>
            <a:graphic>
              <a:graphicData uri="http://schemas.openxmlformats.org/drawingml/2006/picture">
                <pic:pic>
                  <pic:nvPicPr>
                    <pic:cNvPr id="0" name="fig4_heat_loss_decomposition_hires.png"/>
                    <pic:cNvPicPr/>
                  </pic:nvPicPr>
                  <pic:blipFill>
                    <a:blip r:embed="rId25"/>
                    <a:stretch>
                      <a:fillRect/>
                    </a:stretch>
                  </pic:blipFill>
                  <pic:spPr>
                    <a:xfrm>
                      <a:off x="0" y="0"/>
                      <a:ext cx="5486400" cy="4326280"/>
                    </a:xfrm>
                    <a:prstGeom prst="rect"/>
                  </pic:spPr>
                </pic:pic>
              </a:graphicData>
            </a:graphic>
          </wp:inline>
        </w:drawing>
      </w:r>
    </w:p>
    <w:p>
      <w:pPr>
        <w:spacing w:after="240"/>
      </w:pPr>
      <w:r>
        <w:rPr>
          <w:rFonts w:ascii="Times New Roman" w:hAnsi="Times New Roman"/>
          <w:i/>
          <w:sz w:val="20"/>
        </w:rPr>
        <w:t>Figure 6.  Heat-loss decomposition for the young mixed cohort at 25°C / 55% RH. Stacked bars show convective, radiative, evaporative, and respiratory components per room, sorted by total heat loss. Exposure chips on left; room conditions on right.</w:t>
      </w:r>
    </w:p>
    <w:p>
      <w:pPr>
        <w:spacing w:before="120" w:after="120"/>
      </w:pPr>
      <w:r>
        <w:rPr>
          <w:rFonts w:ascii="Times New Roman" w:hAnsi="Times New Roman"/>
          <w:b/>
          <w:sz w:val="24"/>
        </w:rPr>
        <w:t>5 Discussion</w:t>
      </w:r>
    </w:p>
    <w:p>
      <w:pPr>
        <w:spacing w:before="0" w:after="120"/>
      </w:pPr>
      <w:r>
        <w:rPr>
          <w:rFonts w:ascii="Times New Roman" w:hAnsi="Times New Roman"/>
          <w:sz w:val="24"/>
        </w:rPr>
        <w:t>5.1 Comparable Magnitudes of Spatial and Body Effects</w:t>
      </w:r>
    </w:p>
    <w:p>
      <w:pPr>
        <w:spacing w:after="120"/>
        <w:jc w:val="both"/>
      </w:pPr>
      <w:r>
        <w:rPr>
          <w:rFonts w:ascii="Times New Roman" w:hAnsi="Times New Roman"/>
          <w:sz w:val="24"/>
        </w:rPr>
        <w:t>The heat-balance decomposition makes it possible to ask a design question that conventional comfort analysis usually hides: does the spatial organization of a plan matter as much as the people inside it? Figure 7 plots convective against radiative heat loss for each room in three cohorts at 25°C. Color encodes cohort; marker shape encodes solar exposure. A diagonal reference marks equal convective and radiative loss.</w:t>
      </w:r>
    </w:p>
    <w:p>
      <w:pPr>
        <w:spacing w:after="120"/>
        <w:jc w:val="both"/>
      </w:pPr>
      <w:r>
        <w:rPr>
          <w:rFonts w:ascii="Times New Roman" w:hAnsi="Times New Roman"/>
          <w:sz w:val="24"/>
        </w:rPr>
        <w:t>Three findings emerge. First, cohort clusters separate clearly along both axes. At 25°C / 55% RH, the higher-clothing sedentary cohort shifts mean convective and radiative loss down by about 4.8 and 5.0 W/m² respectively relative to the young mixed baseline. The body acts as a thermal shell modulating multiple outgoing pathways simultaneously.</w:t>
      </w:r>
    </w:p>
    <w:p>
      <w:pPr>
        <w:spacing w:after="120"/>
        <w:jc w:val="both"/>
      </w:pPr>
      <w:r>
        <w:rPr>
          <w:rFonts w:ascii="Times New Roman" w:hAnsi="Times New Roman"/>
          <w:sz w:val="24"/>
        </w:rPr>
        <w:t>Second, within each cohort cluster, south-facing rooms (triangles) pull down by approximately 5 W/m² in radiative loss relative to north-facing rooms (circles), while convective loss shifts only slightly. The orientation-driven MRT gradient modulates the radiative pathway directly without proportionally affecting convection.</w:t>
      </w:r>
    </w:p>
    <w:p>
      <w:pPr>
        <w:spacing w:after="120"/>
        <w:jc w:val="both"/>
      </w:pPr>
      <w:r>
        <w:rPr>
          <w:rFonts w:ascii="Times New Roman" w:hAnsi="Times New Roman"/>
          <w:sz w:val="24"/>
        </w:rPr>
        <w:t>The central finding is that these two effects are comparable in magnitude. A 1.5 K MRT offset from room orientation and a cohort configuration change centered on higher clothing and reduced activity each displace the heat-transfer balance by roughly 5 W/m². Design decisions about spatial organization carry thermal consequences of the same order as the occupant variables designers typically consider uncontrollable. The plan is not thermally neutral. It is an active participant in the comfort equation.</w:t>
      </w:r>
    </w:p>
    <w:p>
      <w:pPr>
        <w:spacing w:before="120" w:after="60"/>
        <w:jc w:val="center"/>
      </w:pPr>
      <w:r>
        <w:drawing>
          <wp:inline xmlns:a="http://schemas.openxmlformats.org/drawingml/2006/main" xmlns:pic="http://schemas.openxmlformats.org/drawingml/2006/picture">
            <wp:extent cx="4572000" cy="4198037"/>
            <wp:docPr id="7" name="Picture 7"/>
            <wp:cNvGraphicFramePr>
              <a:graphicFrameLocks noChangeAspect="1"/>
            </wp:cNvGraphicFramePr>
            <a:graphic>
              <a:graphicData uri="http://schemas.openxmlformats.org/drawingml/2006/picture">
                <pic:pic>
                  <pic:nvPicPr>
                    <pic:cNvPr id="0" name="fig5_conv_rad_scatter_hires.png"/>
                    <pic:cNvPicPr/>
                  </pic:nvPicPr>
                  <pic:blipFill>
                    <a:blip r:embed="rId26"/>
                    <a:stretch>
                      <a:fillRect/>
                    </a:stretch>
                  </pic:blipFill>
                  <pic:spPr>
                    <a:xfrm>
                      <a:off x="0" y="0"/>
                      <a:ext cx="4572000" cy="4198037"/>
                    </a:xfrm>
                    <a:prstGeom prst="rect"/>
                  </pic:spPr>
                </pic:pic>
              </a:graphicData>
            </a:graphic>
          </wp:inline>
        </w:drawing>
      </w:r>
    </w:p>
    <w:p>
      <w:pPr>
        <w:spacing w:after="240"/>
      </w:pPr>
      <w:r>
        <w:rPr>
          <w:rFonts w:ascii="Times New Roman" w:hAnsi="Times New Roman"/>
          <w:i/>
          <w:sz w:val="20"/>
        </w:rPr>
        <w:t>Figure 7.  Convective versus radiative heat loss per occupant for three cohorts at 25°C. Marker shape encodes exposure. Spatial factors (orientation) and cohort configuration effects (especially clothing and activity) shift heat loss by comparable magnitudes on the order of 5 W/m².</w:t>
      </w:r>
    </w:p>
    <w:p>
      <w:pPr>
        <w:spacing w:before="0" w:after="120"/>
      </w:pPr>
      <w:r>
        <w:rPr>
          <w:rFonts w:ascii="Times New Roman" w:hAnsi="Times New Roman"/>
          <w:sz w:val="24"/>
        </w:rPr>
        <w:t>5.2 Limitations</w:t>
      </w:r>
    </w:p>
    <w:p>
      <w:pPr>
        <w:spacing w:after="120"/>
        <w:jc w:val="both"/>
      </w:pPr>
      <w:r>
        <w:rPr>
          <w:rFonts w:ascii="Times New Roman" w:hAnsi="Times New Roman"/>
          <w:sz w:val="24"/>
        </w:rPr>
        <w:t>Several hard limitations bound the current results and should be stated plainly. All room environmental conditions are static and hand-authored: air temperature, mean radiant temperature, humidity, and air velocity are assigned per room from anticipated design values, not derived from simulation. Occupant heat gains do not feed back into room state. A room occupied by twenty people will report the same air temperature as an empty one. This is the most consequential simplification.</w:t>
      </w:r>
    </w:p>
    <w:p>
      <w:pPr>
        <w:spacing w:after="120"/>
        <w:jc w:val="both"/>
      </w:pPr>
      <w:r>
        <w:rPr>
          <w:rFonts w:ascii="Times New Roman" w:hAnsi="Times New Roman"/>
          <w:sz w:val="24"/>
        </w:rPr>
        <w:t>Grid resolution is one meter. This is adequate for room-level comfort mapping but does not resolve microclimate gradients near windows, radiant panels, or diffusers. Mean radiant temperature is differentiated by exposure classification (south, east/west, north/interior) rather than by geometric view-factor calculation, and no solar penetration or radiant asymmetry is modeled. The MRT offsets used in this study (+1.5 K south, +0.75 K east/west) are reasonable assumptions for a daytime-cooled apartment but are not derived from radiation modeling.</w:t>
      </w:r>
    </w:p>
    <w:p>
      <w:pPr>
        <w:spacing w:after="120"/>
        <w:jc w:val="both"/>
      </w:pPr>
      <w:r>
        <w:rPr>
          <w:rFonts w:ascii="Times New Roman" w:hAnsi="Times New Roman"/>
          <w:sz w:val="24"/>
        </w:rPr>
        <w:t>The PMV model itself is validated for steady-state conditions within a bounded input range. Values approaching ±3 should be interpreted as indicators of strong thermal stress rather than precise predictions of occupant sensation. Some plotted PMV figures in this paper are clamped on the cold side for legibility, but the stored batch outputs retain the full computed range.</w:t>
      </w:r>
    </w:p>
    <w:p>
      <w:pPr>
        <w:spacing w:before="0" w:after="120"/>
      </w:pPr>
      <w:r>
        <w:rPr>
          <w:rFonts w:ascii="Times New Roman" w:hAnsi="Times New Roman"/>
          <w:sz w:val="24"/>
        </w:rPr>
        <w:t>5.3 Design Interventions and Future Work</w:t>
      </w:r>
    </w:p>
    <w:p>
      <w:pPr>
        <w:spacing w:after="120"/>
        <w:jc w:val="both"/>
      </w:pPr>
      <w:r>
        <w:rPr>
          <w:rFonts w:ascii="Times New Roman" w:hAnsi="Times New Roman"/>
          <w:sz w:val="24"/>
        </w:rPr>
        <w:t>Within these limitations, the framework supports the kind of iterative judgment that characterizes early design. Modifying wall partitions changes room geometry and zone assignment. Increasing glazing area or changing facade type alters the mean radiant temperature assigned to affected rooms. Adjusting mechanical ventilation changes per-room air velocity. Each intervention propagates instantly through the heat-balance engine, enabling direct comparison of comfort outcomes across plan variants.</w:t>
      </w:r>
    </w:p>
    <w:p>
      <w:pPr>
        <w:spacing w:after="120"/>
        <w:jc w:val="both"/>
      </w:pPr>
      <w:r>
        <w:rPr>
          <w:rFonts w:ascii="Times New Roman" w:hAnsi="Times New Roman"/>
          <w:sz w:val="24"/>
        </w:rPr>
        <w:t>The office counterfactual suggests that topology can redistribute the visibility of discomfort even when it does not materially improve mean comfort (Figure 8). When the same envelope is reinterpreted as either a cellular office or an open-plan office under a cool-humid 22°C / 80% RH condition, the cohort means remain nearly unchanged while the spatial field stretches substantially. For a realistic mixed office cohort, interpolated work-cell PMV range increases from 0.216 in the cellular layout to 0.662 in the open layout; for a default 35-year-old male baseline, from 0.179 to 0.529; for a realistic male cohort, from 0.182 to 0.537; and for a lighter-clothed female cohort, from 0.245 to 0.772. The open plan does not necessarily solve the comfort problem. It makes perimeter-to-core thermal inequality more spatially legible, whereas the cellular plan suppresses that same inequality through room averaging.</w:t>
      </w:r>
    </w:p>
    <w:p>
      <w:pPr>
        <w:spacing w:after="120"/>
        <w:jc w:val="both"/>
      </w:pPr>
      <w:r>
        <w:rPr>
          <w:rFonts w:ascii="Times New Roman" w:hAnsi="Times New Roman"/>
          <w:sz w:val="24"/>
        </w:rPr>
        <w:t>The occupant model accepts arbitrary agent definitions beyond the six cohorts presented here, including high-density layouts and sparse occupancy patterns. Scheduled events allow agents to move between rooms and change clothing or activity over time. Future work will address transient room-level coupling, view-factor-based MRT calculation, and probabilistic agent placement to quantify comfort robustness across occupancy scenarios. The data model already carries fields for illuminance, background noise, and social density alongside the thermal variables exercised here, positioning the framework for multi-channel environmental quality assessment.</w:t>
      </w:r>
    </w:p>
    <w:p>
      <w:pPr>
        <w:spacing w:before="120" w:after="60"/>
        <w:jc w:val="center"/>
      </w:pPr>
      <w:r>
        <w:drawing>
          <wp:inline xmlns:a="http://schemas.openxmlformats.org/drawingml/2006/main" xmlns:pic="http://schemas.openxmlformats.org/drawingml/2006/picture">
            <wp:extent cx="5943600" cy="4413118"/>
            <wp:docPr id="8" name="Picture 8"/>
            <wp:cNvGraphicFramePr>
              <a:graphicFrameLocks noChangeAspect="1"/>
            </wp:cNvGraphicFramePr>
            <a:graphic>
              <a:graphicData uri="http://schemas.openxmlformats.org/drawingml/2006/picture">
                <pic:pic>
                  <pic:nvPicPr>
                    <pic:cNvPr id="0" name="fig_office_topology_story_hires.png"/>
                    <pic:cNvPicPr/>
                  </pic:nvPicPr>
                  <pic:blipFill>
                    <a:blip r:embed="rId27"/>
                    <a:stretch>
                      <a:fillRect/>
                    </a:stretch>
                  </pic:blipFill>
                  <pic:spPr>
                    <a:xfrm>
                      <a:off x="0" y="0"/>
                      <a:ext cx="5943600" cy="4413118"/>
                    </a:xfrm>
                    <a:prstGeom prst="rect"/>
                  </pic:spPr>
                </pic:pic>
              </a:graphicData>
            </a:graphic>
          </wp:inline>
        </w:drawing>
      </w:r>
    </w:p>
    <w:p>
      <w:pPr>
        <w:spacing w:after="240"/>
      </w:pPr>
      <w:r>
        <w:rPr>
          <w:rFonts w:ascii="Times New Roman" w:hAnsi="Times New Roman"/>
          <w:i/>
          <w:sz w:val="20"/>
        </w:rPr>
        <w:t>Figure 8.  Office topology counterfactual on the shared footprint at 22°C / 80% RH. Columns compare three cohorts; rows compare the same plan interpreted as a cellular office and as an open office. Color encodes interpolated PMV across occupied work areas, while support rooms remain muted; panel chips report mean PMV, mean PPD, and interpolated field span. Default-male workers remain least cold, while mixed and female-light cohorts shift colder; opening the plan leaves cohort means nearly unchanged but stretches the spatial field and makes the perimeter-to-core gradient visibly continuous.</w:t>
      </w:r>
    </w:p>
    <w:p>
      <w:pPr>
        <w:spacing w:before="120" w:after="120"/>
      </w:pPr>
      <w:r>
        <w:rPr>
          <w:rFonts w:ascii="Times New Roman" w:hAnsi="Times New Roman"/>
          <w:b/>
          <w:sz w:val="24"/>
        </w:rPr>
        <w:t>6 Conclusion</w:t>
      </w:r>
    </w:p>
    <w:p>
      <w:pPr>
        <w:spacing w:after="120"/>
        <w:jc w:val="both"/>
      </w:pPr>
      <w:r>
        <w:rPr>
          <w:rFonts w:ascii="Times New Roman" w:hAnsi="Times New Roman"/>
          <w:sz w:val="24"/>
        </w:rPr>
        <w:t>Much thermal analysis still implies a generic occupant and a generic zone. This paper argues that those abstractions hide the consequences of spatial decisions for different bodies in different rooms. By distributing individually characterized agents across a floor plan, the framework makes hidden thermal intelligence legible before construction.</w:t>
      </w:r>
    </w:p>
    <w:p>
      <w:pPr>
        <w:spacing w:after="120"/>
        <w:jc w:val="both"/>
      </w:pPr>
      <w:r>
        <w:rPr>
          <w:rFonts w:ascii="Times New Roman" w:hAnsi="Times New Roman"/>
          <w:sz w:val="24"/>
        </w:rPr>
        <w:t>In the 24-room apartment case, that hidden intelligence appears as persistent comfort heterogeneity ranging from roughly one to nearly four PMV units within a single plan under uniform setpoints. The heat-balance decomposition shows why. Spatial factors—primarily orientation-driven mean radiant temperature gradients—and body-configuration factors—most visibly clothing and activity configuration in this study—shift heat loss by comparable magnitudes on the order of five watts per square meter. The architectural plan is therefore not a passive container for thermal conditions. Its spatial decisions carry thermal consequences on the same order as occupant variables designers do not typically control.</w:t>
      </w:r>
    </w:p>
    <w:p>
      <w:pPr>
        <w:spacing w:after="120"/>
        <w:jc w:val="both"/>
      </w:pPr>
      <w:r>
        <w:rPr>
          <w:rFonts w:ascii="Times New Roman" w:hAnsi="Times New Roman"/>
          <w:sz w:val="24"/>
        </w:rPr>
        <w:t>The office counterfactual sharpens this claim. Reusing the same footprint as a cellular or open office does not produce dramatically different mean comfort; at 22°C, many occupants remain cold in both layouts. What changes is the distribution and visibility of discomfort. Open topology stretches the perimeter-to-core gradient into a legible spatial field, while cellular topology collapses that same gradient back into room averages.</w:t>
      </w:r>
    </w:p>
    <w:p>
      <w:pPr>
        <w:spacing w:after="120"/>
        <w:jc w:val="both"/>
      </w:pPr>
      <w:r>
        <w:rPr>
          <w:rFonts w:ascii="Times New Roman" w:hAnsi="Times New Roman"/>
          <w:sz w:val="24"/>
        </w:rPr>
        <w:t>What the framework ultimately offers is not another optimization target but a new kind of design feedback: the ability to see, before a building is built, which occupants a given spatial configuration advantages, which it penalizes, and why. The holistic data model already carries lighting, acoustic, and preference fields alongside the thermal channel exercised here, positioning the framework for extension to multi-channel environmental quality assessment at the same spatial resolution.</w:t>
      </w:r>
    </w:p>
    <w:p>
      <w:pPr>
        <w:spacing w:before="120" w:after="120"/>
      </w:pPr>
      <w:r>
        <w:rPr>
          <w:rFonts w:ascii="Times New Roman" w:hAnsi="Times New Roman"/>
          <w:b/>
          <w:sz w:val="24"/>
        </w:rPr>
        <w:t>References</w:t>
      </w:r>
    </w:p>
    <w:p>
      <w:pPr>
        <w:spacing w:after="60"/>
        <w:ind w:left="720" w:hanging="720"/>
      </w:pPr>
      <w:r>
        <w:rPr>
          <w:rFonts w:ascii="Times New Roman" w:hAnsi="Times New Roman"/>
          <w:sz w:val="24"/>
        </w:rPr>
        <w:t>ASHRAE. 2020. ANSI/ASHRAE Standard 55-2020: Thermal Environmental Conditions for Human Occupancy. Atlanta: ASHRAE.</w:t>
      </w:r>
    </w:p>
    <w:p>
      <w:pPr>
        <w:spacing w:after="60"/>
        <w:ind w:left="720" w:hanging="720"/>
      </w:pPr>
      <w:r>
        <w:rPr>
          <w:rFonts w:ascii="Times New Roman" w:hAnsi="Times New Roman"/>
          <w:sz w:val="24"/>
        </w:rPr>
        <w:t>Crawley, Drury B., Jon W. Hand, Michaël Kummert, and Brent T. Griffith. 2008. “Contrasting the Capabilities of Building Energy Performance Simulation Programs.” Building and Environment 43 (4): 661–673.</w:t>
      </w:r>
    </w:p>
    <w:p>
      <w:pPr>
        <w:spacing w:after="60"/>
        <w:ind w:left="720" w:hanging="720"/>
      </w:pPr>
      <w:r>
        <w:rPr>
          <w:rFonts w:ascii="Times New Roman" w:hAnsi="Times New Roman"/>
          <w:sz w:val="24"/>
        </w:rPr>
        <w:t>de Dear, Richard J. and Gail S. Brager. 1998. “Developing an Adaptive Model of Thermal Comfort and Preference.” ASHRAE Transactions 104 (1): 145–167.</w:t>
      </w:r>
    </w:p>
    <w:p>
      <w:pPr>
        <w:spacing w:after="60"/>
        <w:ind w:left="720" w:hanging="720"/>
      </w:pPr>
      <w:r>
        <w:rPr>
          <w:rFonts w:ascii="Times New Roman" w:hAnsi="Times New Roman"/>
          <w:sz w:val="24"/>
        </w:rPr>
        <w:t>Du Bois, Delafield and Eugene F. Du Bois. 1916. “A Formula to Estimate the Approximate Surface Area if Height and Weight Be Known.” Archives of Internal Medicine 17 (6): 863–871.</w:t>
      </w:r>
    </w:p>
    <w:p>
      <w:pPr>
        <w:spacing w:after="60"/>
        <w:ind w:left="720" w:hanging="720"/>
      </w:pPr>
      <w:r>
        <w:rPr>
          <w:rFonts w:ascii="Times New Roman" w:hAnsi="Times New Roman"/>
          <w:sz w:val="24"/>
        </w:rPr>
        <w:t>Fanger, Poul O. 1970. Thermal Comfort: Analysis and Applications in Environmental Engineering. Copenhagen: Danish Technical Press.</w:t>
      </w:r>
    </w:p>
    <w:p>
      <w:pPr>
        <w:spacing w:after="60"/>
        <w:ind w:left="720" w:hanging="720"/>
      </w:pPr>
      <w:r>
        <w:rPr>
          <w:rFonts w:ascii="Times New Roman" w:hAnsi="Times New Roman"/>
          <w:sz w:val="24"/>
        </w:rPr>
        <w:t>Fountain, Marc and Charles Huizenga. 1995. “A Thermal Sensation Model for Use by the Engineering Profession.” ASHRAE Technical Data Bulletin 11 (1): 1–12.</w:t>
      </w:r>
    </w:p>
    <w:p>
      <w:pPr>
        <w:spacing w:after="60"/>
        <w:ind w:left="720" w:hanging="720"/>
      </w:pPr>
      <w:r>
        <w:rPr>
          <w:rFonts w:ascii="Times New Roman" w:hAnsi="Times New Roman"/>
          <w:sz w:val="24"/>
        </w:rPr>
        <w:t>Hillier, Bill and Julienne Hanson. 1984. The Social Logic of Space. Cambridge: Cambridge University Press.</w:t>
      </w:r>
    </w:p>
    <w:p>
      <w:pPr>
        <w:spacing w:after="60"/>
        <w:ind w:left="720" w:hanging="720"/>
      </w:pPr>
      <w:r>
        <w:rPr>
          <w:rFonts w:ascii="Times New Roman" w:hAnsi="Times New Roman"/>
          <w:sz w:val="24"/>
        </w:rPr>
        <w:t>Holopainen, Riikka. 2012. “A Human Thermal Model for Improved Thermal Comfort.” VTT Science 23. Espoo: VTT Technical Research Centre of Finland.</w:t>
      </w:r>
    </w:p>
    <w:p>
      <w:pPr>
        <w:spacing w:after="60"/>
        <w:ind w:left="720" w:hanging="720"/>
      </w:pPr>
      <w:r>
        <w:rPr>
          <w:rFonts w:ascii="Times New Roman" w:hAnsi="Times New Roman"/>
          <w:sz w:val="24"/>
        </w:rPr>
        <w:t>ISO. 2005. ISO 7730:2005 Ergonomics of the Thermal Environment—Analytical Determination and Interpretation of Thermal Comfort Using Calculation of the PMV and PPD Indices and Local Thermal Comfort Criteria. Geneva: International Organization for Standardization.</w:t>
      </w:r>
    </w:p>
    <w:p>
      <w:pPr>
        <w:spacing w:after="60"/>
        <w:ind w:left="720" w:hanging="720"/>
      </w:pPr>
      <w:r>
        <w:rPr>
          <w:rFonts w:ascii="Times New Roman" w:hAnsi="Times New Roman"/>
          <w:sz w:val="24"/>
        </w:rPr>
        <w:t>Megri, Ahmed Cherif and Fariborz Haghighat. 2007. “Zonal Modeling for Simulating Indoor Environment of Buildings: Review, Recent Developments, and Applications.” HVAC&amp;R Research 13 (6): 887–905.</w:t>
      </w:r>
    </w:p>
    <w:p>
      <w:pPr>
        <w:spacing w:after="60"/>
        <w:ind w:left="720" w:hanging="720"/>
      </w:pPr>
      <w:r>
        <w:rPr>
          <w:rFonts w:ascii="Times New Roman" w:hAnsi="Times New Roman"/>
          <w:sz w:val="24"/>
        </w:rPr>
        <w:t>Mifflin, Mark D., Sachiko T. St Jeor, Lisa A. Hill, Barbara J. Scott, Sandra A. Daugherty, and Young O. Koh. 1990. “A New Predictive Equation for Resting Energy Expenditure in Healthy Individuals.” American Journal of Clinical Nutrition 51 (2): 241–247.</w:t>
      </w:r>
    </w:p>
    <w:p>
      <w:pPr>
        <w:spacing w:after="60"/>
        <w:ind w:left="720" w:hanging="720"/>
      </w:pPr>
      <w:r>
        <w:rPr>
          <w:rFonts w:ascii="Times New Roman" w:hAnsi="Times New Roman"/>
          <w:sz w:val="24"/>
        </w:rPr>
        <w:t>Nicol, J. Fergus and Michael A. Humphreys. 2002. “Adaptive Thermal Comfort and Sustainable Thermal Standards for Buildings.” Energy and Buildings 34 (6): 563–572.</w:t>
      </w:r>
    </w:p>
    <w:p>
      <w:pPr>
        <w:spacing w:after="60"/>
        <w:ind w:left="720" w:hanging="720"/>
      </w:pPr>
      <w:r>
        <w:rPr>
          <w:rFonts w:ascii="Times New Roman" w:hAnsi="Times New Roman"/>
          <w:sz w:val="24"/>
        </w:rPr>
        <w:t>Tartarini, Federico, Stefano Schiavon, Tyler Cheung, and Tyler Hoyt. 2020. “CBE Thermal Comfort Tool: Online Tool for Thermal Comfort Calculations and Visualizations.” SoftwareX 12: 100563.</w:t>
      </w:r>
    </w:p>
    <w:p>
      <w:pPr>
        <w:spacing w:after="60"/>
        <w:ind w:left="720" w:hanging="720"/>
      </w:pPr>
      <w:r>
        <w:rPr>
          <w:rFonts w:ascii="Times New Roman" w:hAnsi="Times New Roman"/>
          <w:sz w:val="24"/>
        </w:rPr>
        <w:t>Yan, Wei and Yehuda E. Kalay. 2006. “Simulating the Behavior of Users in Built Environments.” Journal of Architectural and Planning Research 23 (4): 289–310.</w:t>
      </w:r>
    </w:p>
    <w:sectPr w:rsidR="00C6021E">
      <w:footerReference w:type="default" r:id="rId16"/>
      <w:headerReference w:type="default" r:id="rId28"/>
      <w:headerReference w:type="first" r:id="rId29"/>
      <w:footerReference w:type="first" r:id="rId30"/>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820B" w14:textId="77777777" w:rsidR="004842B1" w:rsidRDefault="004842B1">
      <w:pPr>
        <w:spacing w:after="0"/>
      </w:pPr>
      <w:r>
        <w:separator/>
      </w:r>
    </w:p>
  </w:endnote>
  <w:endnote w:type="continuationSeparator" w:id="0">
    <w:p w14:paraId="12E01266" w14:textId="77777777" w:rsidR="004842B1" w:rsidRDefault="004842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DFA9B93-AA18-435C-B440-8CE5257DFE4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45D8172-2118-4A6F-91E7-7D67CE1F0EC1}"/>
  </w:font>
  <w:font w:name="Calibri">
    <w:panose1 w:val="020F0502020204030204"/>
    <w:charset w:val="00"/>
    <w:family w:val="swiss"/>
    <w:pitch w:val="variable"/>
    <w:sig w:usb0="E4002EFF" w:usb1="C200247B" w:usb2="00000009" w:usb3="00000000" w:csb0="000001FF" w:csb1="00000000"/>
    <w:embedRegular r:id="rId3" w:fontKey="{AA27EB44-6E10-4738-BE91-AE76679EBFC1}"/>
  </w:font>
  <w:font w:name="Cambria">
    <w:panose1 w:val="02040503050406030204"/>
    <w:charset w:val="00"/>
    <w:family w:val="roman"/>
    <w:pitch w:val="variable"/>
    <w:sig w:usb0="E00006FF" w:usb1="420024FF" w:usb2="02000000" w:usb3="00000000" w:csb0="0000019F" w:csb1="00000000"/>
    <w:embedRegular r:id="rId4" w:fontKey="{F8A03914-99A9-4643-BE9C-3FEBA54B3F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C" w14:textId="2904046B" w:rsidR="00C6021E" w:rsidRDefault="00000000">
    <w:pPr>
      <w:widowControl/>
      <w:pBdr>
        <w:top w:val="single" w:sz="4" w:space="1" w:color="000000"/>
        <w:left w:val="none" w:sz="0" w:space="0" w:color="000000"/>
        <w:bottom w:val="none" w:sz="0" w:space="0" w:color="000000"/>
        <w:right w:val="none" w:sz="0" w:space="0" w:color="000000"/>
      </w:pBdr>
      <w:tabs>
        <w:tab w:val="right" w:pos="8640"/>
      </w:tabs>
      <w:spacing w:after="0"/>
      <w:rPr>
        <w:i/>
        <w:iCs/>
      </w:rPr>
    </w:pPr>
  </w:p>
  <w:p w14:paraId="0000006D" w14:textId="77777777" w:rsidR="00C6021E" w:rsidRDefault="00C6021E"/>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E1A1" w14:textId="77777777" w:rsidR="004842B1" w:rsidRDefault="004842B1">
      <w:pPr>
        <w:spacing w:after="0"/>
      </w:pPr>
      <w:r>
        <w:separator/>
      </w:r>
    </w:p>
  </w:footnote>
  <w:footnote w:type="continuationSeparator" w:id="0">
    <w:p w14:paraId="1C23AC3E" w14:textId="77777777" w:rsidR="004842B1" w:rsidRDefault="004842B1">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56EB2"/>
    <w:multiLevelType w:val="multilevel"/>
    <w:tmpl w:val="044E8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191C18"/>
    <w:multiLevelType w:val="multilevel"/>
    <w:tmpl w:val="D324897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4F750717"/>
    <w:multiLevelType w:val="multilevel"/>
    <w:tmpl w:val="4C76A740"/>
    <w:lvl w:ilvl="0">
      <w:start w:val="1"/>
      <w:numFmt w:val="decimal"/>
      <w:pStyle w:val="ACADIA-BulletedList"/>
      <w:lvlText w:val="%1."/>
      <w:lvlJc w:val="left"/>
      <w:pPr>
        <w:tabs>
          <w:tab w:val="num" w:pos="720"/>
        </w:tabs>
        <w:ind w:left="720" w:hanging="720"/>
      </w:pPr>
    </w:lvl>
    <w:lvl w:ilvl="1">
      <w:start w:val="1"/>
      <w:numFmt w:val="decimal"/>
      <w:pStyle w:val="ACADIA-HeaderBNumbere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F2205B5"/>
    <w:multiLevelType w:val="multilevel"/>
    <w:tmpl w:val="2BE8EF5A"/>
    <w:lvl w:ilvl="0">
      <w:start w:val="5"/>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019503915">
    <w:abstractNumId w:val="3"/>
  </w:num>
  <w:num w:numId="2" w16cid:durableId="229391251">
    <w:abstractNumId w:val="1"/>
  </w:num>
  <w:num w:numId="3" w16cid:durableId="1096946235">
    <w:abstractNumId w:val="0"/>
  </w:num>
  <w:num w:numId="4" w16cid:durableId="1704089645">
    <w:abstractNumId w:val="2"/>
  </w:num>
  <w:num w:numId="5" w16cid:durableId="297341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1383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1467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mail, Mohamed Abdelbagi (mai6gx)">
    <w15:presenceInfo w15:providerId="AD" w15:userId="S::mai6gx@virginia.edu::fa61202f-f164-41b7-a58c-a69b320e4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1E"/>
    <w:rsid w:val="001235FC"/>
    <w:rsid w:val="004842B1"/>
    <w:rsid w:val="007012F6"/>
    <w:rsid w:val="007E6F86"/>
    <w:rsid w:val="00920F00"/>
    <w:rsid w:val="00BF66E6"/>
    <w:rsid w:val="00C6021E"/>
    <w:rsid w:val="00F16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E9CA"/>
  <w15:docId w15:val="{4CC2CF2E-A7A7-42BA-8D68-4C95132D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spacing w:before="240"/>
      <w:ind w:left="547" w:hanging="547"/>
      <w:outlineLvl w:val="0"/>
    </w:pPr>
    <w:rPr>
      <w:rFonts w:ascii="Arial" w:eastAsia="Arial" w:hAnsi="Arial" w:cs="Arial"/>
      <w:b/>
      <w:bCs/>
    </w:rPr>
  </w:style>
  <w:style w:type="paragraph" w:styleId="Heading2">
    <w:name w:val="heading 2"/>
    <w:basedOn w:val="Normal"/>
    <w:next w:val="Normal"/>
    <w:uiPriority w:val="9"/>
    <w:semiHidden/>
    <w:unhideWhenUsed/>
    <w:qFormat/>
    <w:pPr>
      <w:keepNext/>
      <w:widowControl/>
      <w:ind w:left="547" w:hanging="547"/>
      <w:outlineLvl w:val="1"/>
    </w:pPr>
    <w:rPr>
      <w:rFonts w:ascii="Arial" w:eastAsia="Arial" w:hAnsi="Arial" w:cs="Arial"/>
      <w:i/>
      <w:iCs/>
    </w:rPr>
  </w:style>
  <w:style w:type="paragraph" w:styleId="Heading3">
    <w:name w:val="heading 3"/>
    <w:basedOn w:val="Normal"/>
    <w:next w:val="Normal"/>
    <w:uiPriority w:val="9"/>
    <w:semiHidden/>
    <w:unhideWhenUsed/>
    <w:qFormat/>
    <w:pPr>
      <w:keepNext/>
      <w:widowControl/>
      <w:ind w:left="547" w:hanging="547"/>
      <w:outlineLvl w:val="2"/>
    </w:pPr>
    <w:rPr>
      <w:rFonts w:ascii="Arial" w:eastAsia="Arial" w:hAnsi="Arial" w:cs="Arial"/>
      <w:b/>
      <w:bCs/>
      <w:i/>
      <w:iCs/>
    </w:rPr>
  </w:style>
  <w:style w:type="paragraph" w:styleId="Heading4">
    <w:name w:val="heading 4"/>
    <w:basedOn w:val="Normal"/>
    <w:next w:val="Normal"/>
    <w:uiPriority w:val="9"/>
    <w:semiHidden/>
    <w:unhideWhenUsed/>
    <w:qFormat/>
    <w:pPr>
      <w:outlineLvl w:val="3"/>
    </w:p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paragraph" w:styleId="Heading7">
    <w:name w:val="heading 7"/>
    <w:basedOn w:val="Normal"/>
    <w:next w:val="Normal"/>
    <w:link w:val="Heading7Char"/>
    <w:rsid w:val="009E39EF"/>
    <w:pPr>
      <w:outlineLvl w:val="6"/>
    </w:pPr>
  </w:style>
  <w:style w:type="paragraph" w:styleId="Heading8">
    <w:name w:val="heading 8"/>
    <w:basedOn w:val="Normal"/>
    <w:next w:val="Normal"/>
    <w:link w:val="Heading8Char"/>
    <w:rsid w:val="009E39EF"/>
    <w:pPr>
      <w:outlineLvl w:val="7"/>
    </w:pPr>
  </w:style>
  <w:style w:type="paragraph" w:styleId="Heading9">
    <w:name w:val="heading 9"/>
    <w:basedOn w:val="Normal"/>
    <w:next w:val="Normal"/>
    <w:link w:val="Heading9Char"/>
    <w:rsid w:val="009E39E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a">
    <w:basedOn w:val="TableNormal"/>
    <w:tblPr>
      <w:tblStyleRowBandSize w:val="1"/>
      <w:tblStyleColBandSize w:val="1"/>
      <w:tblCellMar>
        <w:left w:w="115" w:type="dxa"/>
        <w:right w:w="115" w:type="dxa"/>
      </w:tblCellMar>
    </w:tblPr>
  </w:style>
  <w:style w:type="paragraph" w:customStyle="1" w:styleId="Style1">
    <w:name w:val="Style1"/>
    <w:basedOn w:val="Normal"/>
    <w:qFormat/>
    <w:rsid w:val="00FF6548"/>
    <w:pPr>
      <w:pBdr>
        <w:top w:val="nil"/>
        <w:left w:val="nil"/>
        <w:bottom w:val="nil"/>
        <w:right w:val="nil"/>
        <w:between w:val="nil"/>
      </w:pBdr>
    </w:pPr>
    <w:rPr>
      <w:color w:val="000000"/>
    </w:rPr>
  </w:style>
  <w:style w:type="paragraph" w:customStyle="1" w:styleId="ACADIA-Normal">
    <w:name w:val="ACADIA-Normal"/>
    <w:basedOn w:val="Normal"/>
    <w:link w:val="ACADIA-NormalChar"/>
    <w:qFormat/>
    <w:rsid w:val="009E39EF"/>
  </w:style>
  <w:style w:type="character" w:customStyle="1" w:styleId="ACADIA-NormalChar">
    <w:name w:val="ACADIA-Normal Char"/>
    <w:basedOn w:val="DefaultParagraphFont"/>
    <w:link w:val="ACADIA-Normal"/>
    <w:rsid w:val="009E39EF"/>
    <w:rPr>
      <w:lang w:eastAsia="zh-CN"/>
    </w:rPr>
  </w:style>
  <w:style w:type="paragraph" w:customStyle="1" w:styleId="ACADIA-Author">
    <w:name w:val="ACADIA-Author"/>
    <w:basedOn w:val="ACADIA-Normal"/>
    <w:next w:val="Normal"/>
    <w:qFormat/>
    <w:rsid w:val="009E39EF"/>
    <w:pPr>
      <w:jc w:val="center"/>
    </w:pPr>
  </w:style>
  <w:style w:type="paragraph" w:customStyle="1" w:styleId="ACADIA-BulletedList">
    <w:name w:val="ACADIA-Bulleted List"/>
    <w:basedOn w:val="ACADIA-Normal"/>
    <w:qFormat/>
    <w:rsid w:val="009E39EF"/>
    <w:pPr>
      <w:numPr>
        <w:numId w:val="4"/>
      </w:numPr>
    </w:pPr>
  </w:style>
  <w:style w:type="paragraph" w:customStyle="1" w:styleId="ACADIA-FigureCaption">
    <w:name w:val="ACADIA-Figure Caption"/>
    <w:basedOn w:val="ACADIA-Normal"/>
    <w:next w:val="ACADIA-Normal"/>
    <w:rsid w:val="009E39EF"/>
    <w:pPr>
      <w:keepLines/>
      <w:widowControl/>
      <w:spacing w:before="120"/>
      <w:jc w:val="left"/>
    </w:pPr>
    <w:rPr>
      <w:b/>
    </w:rPr>
  </w:style>
  <w:style w:type="paragraph" w:customStyle="1" w:styleId="ACADIA-HeaderANot-Numbered">
    <w:name w:val="ACADIA-Header A Not-Numbered"/>
    <w:basedOn w:val="Normal"/>
    <w:qFormat/>
    <w:rsid w:val="009E39EF"/>
    <w:pPr>
      <w:keepNext/>
      <w:keepLines/>
      <w:widowControl/>
      <w:spacing w:before="240"/>
    </w:pPr>
    <w:rPr>
      <w:rFonts w:cs="Arial"/>
      <w:b/>
    </w:rPr>
  </w:style>
  <w:style w:type="paragraph" w:customStyle="1" w:styleId="ACADIA-HeaderBNumbered">
    <w:name w:val="ACADIA-Header B Numbered"/>
    <w:basedOn w:val="Normal"/>
    <w:next w:val="ACADIA-Normal"/>
    <w:qFormat/>
    <w:rsid w:val="009E39EF"/>
    <w:pPr>
      <w:keepNext/>
      <w:keepLines/>
      <w:widowControl/>
      <w:numPr>
        <w:ilvl w:val="1"/>
        <w:numId w:val="5"/>
      </w:numPr>
      <w:spacing w:before="240"/>
    </w:pPr>
    <w:rPr>
      <w:rFonts w:cs="Arial"/>
    </w:rPr>
  </w:style>
  <w:style w:type="paragraph" w:customStyle="1" w:styleId="ACADIA-HeaderANumbered">
    <w:name w:val="ACADIA-Header A Numbered"/>
    <w:basedOn w:val="ACADIA-HeaderBNumbered"/>
    <w:qFormat/>
    <w:rsid w:val="00B92E61"/>
    <w:pPr>
      <w:numPr>
        <w:ilvl w:val="0"/>
        <w:numId w:val="0"/>
      </w:numPr>
      <w:tabs>
        <w:tab w:val="num" w:pos="720"/>
      </w:tabs>
      <w:ind w:left="720" w:hanging="720"/>
    </w:pPr>
    <w:rPr>
      <w:b/>
    </w:rPr>
  </w:style>
  <w:style w:type="paragraph" w:customStyle="1" w:styleId="ACADIA-HeaderBNot-Numbered">
    <w:name w:val="ACADIA-Header B Not-Numbered"/>
    <w:basedOn w:val="ACADIA-HeaderANot-Numbered"/>
    <w:next w:val="ACADIA-Normal"/>
    <w:rsid w:val="009E39EF"/>
    <w:rPr>
      <w:b w:val="0"/>
    </w:rPr>
  </w:style>
  <w:style w:type="paragraph" w:customStyle="1" w:styleId="ACADIA-Keywords">
    <w:name w:val="ACADIA-Keywords"/>
    <w:basedOn w:val="ACADIA-Normal"/>
    <w:link w:val="ACADIA-KeywordsChar"/>
    <w:qFormat/>
    <w:rsid w:val="009E39EF"/>
    <w:pPr>
      <w:jc w:val="left"/>
    </w:pPr>
    <w:rPr>
      <w:i/>
    </w:rPr>
  </w:style>
  <w:style w:type="character" w:customStyle="1" w:styleId="ACADIA-KeywordsChar">
    <w:name w:val="ACADIA-Keywords Char"/>
    <w:basedOn w:val="DefaultParagraphFont"/>
    <w:link w:val="ACADIA-Keywords"/>
    <w:rsid w:val="009E39EF"/>
    <w:rPr>
      <w:i/>
      <w:lang w:eastAsia="zh-CN"/>
    </w:rPr>
  </w:style>
  <w:style w:type="paragraph" w:customStyle="1" w:styleId="ACADIA-NumberedList">
    <w:name w:val="ACADIA-Numbered List"/>
    <w:basedOn w:val="ACADIA-BulletedList"/>
    <w:qFormat/>
    <w:rsid w:val="009E39EF"/>
    <w:pPr>
      <w:numPr>
        <w:numId w:val="0"/>
      </w:numPr>
      <w:tabs>
        <w:tab w:val="num" w:pos="720"/>
      </w:tabs>
      <w:ind w:left="720" w:hanging="720"/>
    </w:pPr>
  </w:style>
  <w:style w:type="paragraph" w:customStyle="1" w:styleId="ACADIA-Reference">
    <w:name w:val="ACADIA-Reference"/>
    <w:basedOn w:val="ACADIA-Normal"/>
    <w:qFormat/>
    <w:rsid w:val="009E39EF"/>
    <w:pPr>
      <w:widowControl/>
      <w:ind w:left="540" w:hanging="540"/>
    </w:pPr>
  </w:style>
  <w:style w:type="paragraph" w:customStyle="1" w:styleId="ACADIA-Table">
    <w:name w:val="ACADIA-Table"/>
    <w:basedOn w:val="ACADIA-Normal"/>
    <w:rsid w:val="009E39EF"/>
    <w:pPr>
      <w:jc w:val="center"/>
    </w:pPr>
    <w:rPr>
      <w:sz w:val="20"/>
    </w:rPr>
  </w:style>
  <w:style w:type="paragraph" w:customStyle="1" w:styleId="ACADIA-TableCaption">
    <w:name w:val="ACADIA-Table Caption"/>
    <w:basedOn w:val="ACADIA-Normal"/>
    <w:next w:val="ACADIA-Normal"/>
    <w:qFormat/>
    <w:rsid w:val="009E39EF"/>
    <w:pPr>
      <w:jc w:val="left"/>
    </w:pPr>
    <w:rPr>
      <w:b/>
    </w:rPr>
  </w:style>
  <w:style w:type="paragraph" w:customStyle="1" w:styleId="ACADIA-Title">
    <w:name w:val="ACADIA-Title"/>
    <w:basedOn w:val="ACADIA-Normal"/>
    <w:link w:val="ACADIA-TitleChar"/>
    <w:rsid w:val="009E39EF"/>
    <w:pPr>
      <w:keepNext/>
      <w:keepLines/>
      <w:widowControl/>
      <w:spacing w:before="240" w:after="960"/>
      <w:jc w:val="center"/>
    </w:pPr>
    <w:rPr>
      <w:rFonts w:cs="Arial"/>
      <w:b/>
      <w:kern w:val="1"/>
      <w:sz w:val="28"/>
    </w:rPr>
  </w:style>
  <w:style w:type="character" w:customStyle="1" w:styleId="ACADIA-TitleChar">
    <w:name w:val="ACADIA-Title Char"/>
    <w:basedOn w:val="ACADIA-NormalChar"/>
    <w:link w:val="ACADIA-Title"/>
    <w:rsid w:val="009E39EF"/>
    <w:rPr>
      <w:rFonts w:cs="Arial"/>
      <w:b/>
      <w:kern w:val="1"/>
      <w:sz w:val="28"/>
      <w:lang w:eastAsia="zh-CN"/>
    </w:rPr>
  </w:style>
  <w:style w:type="paragraph" w:styleId="BalloonText">
    <w:name w:val="Balloon Text"/>
    <w:basedOn w:val="Normal"/>
    <w:link w:val="BalloonTextChar"/>
    <w:uiPriority w:val="99"/>
    <w:semiHidden/>
    <w:unhideWhenUsed/>
    <w:rsid w:val="009E39EF"/>
    <w:pPr>
      <w:spacing w:after="0"/>
    </w:pPr>
    <w:rPr>
      <w:sz w:val="18"/>
      <w:szCs w:val="18"/>
    </w:rPr>
  </w:style>
  <w:style w:type="character" w:customStyle="1" w:styleId="BalloonTextChar">
    <w:name w:val="Balloon Text Char"/>
    <w:basedOn w:val="DefaultParagraphFont"/>
    <w:link w:val="BalloonText"/>
    <w:uiPriority w:val="99"/>
    <w:semiHidden/>
    <w:rsid w:val="009E39EF"/>
    <w:rPr>
      <w:sz w:val="18"/>
      <w:szCs w:val="18"/>
      <w:lang w:eastAsia="zh-CN"/>
    </w:rPr>
  </w:style>
  <w:style w:type="character" w:styleId="CommentReference">
    <w:name w:val="annotation reference"/>
    <w:basedOn w:val="DefaultParagraphFont"/>
    <w:uiPriority w:val="99"/>
    <w:semiHidden/>
    <w:unhideWhenUsed/>
    <w:rsid w:val="009E39EF"/>
    <w:rPr>
      <w:sz w:val="16"/>
      <w:szCs w:val="16"/>
    </w:rPr>
  </w:style>
  <w:style w:type="paragraph" w:styleId="CommentText">
    <w:name w:val="annotation text"/>
    <w:basedOn w:val="Normal"/>
    <w:link w:val="CommentTextChar"/>
    <w:uiPriority w:val="99"/>
    <w:unhideWhenUsed/>
    <w:rsid w:val="009E39EF"/>
    <w:rPr>
      <w:sz w:val="20"/>
    </w:rPr>
  </w:style>
  <w:style w:type="character" w:customStyle="1" w:styleId="CommentTextChar">
    <w:name w:val="Comment Text Char"/>
    <w:basedOn w:val="DefaultParagraphFont"/>
    <w:link w:val="CommentText"/>
    <w:uiPriority w:val="99"/>
    <w:rsid w:val="009E39EF"/>
    <w:rPr>
      <w:sz w:val="20"/>
      <w:lang w:eastAsia="zh-CN"/>
    </w:rPr>
  </w:style>
  <w:style w:type="paragraph" w:styleId="CommentSubject">
    <w:name w:val="annotation subject"/>
    <w:basedOn w:val="CommentText"/>
    <w:next w:val="CommentText"/>
    <w:link w:val="CommentSubjectChar"/>
    <w:uiPriority w:val="99"/>
    <w:semiHidden/>
    <w:unhideWhenUsed/>
    <w:rsid w:val="009E39EF"/>
    <w:rPr>
      <w:b/>
      <w:bCs/>
    </w:rPr>
  </w:style>
  <w:style w:type="character" w:customStyle="1" w:styleId="CommentSubjectChar">
    <w:name w:val="Comment Subject Char"/>
    <w:basedOn w:val="CommentTextChar"/>
    <w:link w:val="CommentSubject"/>
    <w:uiPriority w:val="99"/>
    <w:semiHidden/>
    <w:rsid w:val="009E39EF"/>
    <w:rPr>
      <w:b/>
      <w:bCs/>
      <w:sz w:val="20"/>
      <w:lang w:eastAsia="zh-CN"/>
    </w:rPr>
  </w:style>
  <w:style w:type="character" w:styleId="FollowedHyperlink">
    <w:name w:val="FollowedHyperlink"/>
    <w:basedOn w:val="DefaultParagraphFont"/>
    <w:uiPriority w:val="99"/>
    <w:semiHidden/>
    <w:unhideWhenUsed/>
    <w:rsid w:val="009E39EF"/>
    <w:rPr>
      <w:color w:val="800080" w:themeColor="followedHyperlink"/>
      <w:u w:val="single"/>
    </w:rPr>
  </w:style>
  <w:style w:type="paragraph" w:styleId="Footer">
    <w:name w:val="footer"/>
    <w:basedOn w:val="Normal"/>
    <w:link w:val="FooterChar"/>
    <w:rsid w:val="009E39EF"/>
    <w:pPr>
      <w:tabs>
        <w:tab w:val="center" w:pos="4320"/>
        <w:tab w:val="right" w:pos="8640"/>
      </w:tabs>
    </w:pPr>
  </w:style>
  <w:style w:type="character" w:customStyle="1" w:styleId="FooterChar">
    <w:name w:val="Footer Char"/>
    <w:basedOn w:val="DefaultParagraphFont"/>
    <w:link w:val="Footer"/>
    <w:rsid w:val="009E39EF"/>
    <w:rPr>
      <w:lang w:eastAsia="zh-CN"/>
    </w:rPr>
  </w:style>
  <w:style w:type="paragraph" w:styleId="Header">
    <w:name w:val="header"/>
    <w:basedOn w:val="Normal"/>
    <w:link w:val="HeaderChar"/>
    <w:uiPriority w:val="99"/>
    <w:unhideWhenUsed/>
    <w:rsid w:val="009E39EF"/>
    <w:pPr>
      <w:tabs>
        <w:tab w:val="center" w:pos="4680"/>
        <w:tab w:val="right" w:pos="9360"/>
      </w:tabs>
      <w:spacing w:after="0"/>
    </w:pPr>
  </w:style>
  <w:style w:type="character" w:customStyle="1" w:styleId="HeaderChar">
    <w:name w:val="Header Char"/>
    <w:basedOn w:val="DefaultParagraphFont"/>
    <w:link w:val="Header"/>
    <w:uiPriority w:val="99"/>
    <w:rsid w:val="009E39EF"/>
    <w:rPr>
      <w:lang w:eastAsia="zh-CN"/>
    </w:rPr>
  </w:style>
  <w:style w:type="character" w:customStyle="1" w:styleId="Heading7Char">
    <w:name w:val="Heading 7 Char"/>
    <w:basedOn w:val="DefaultParagraphFont"/>
    <w:link w:val="Heading7"/>
    <w:rsid w:val="009E39EF"/>
    <w:rPr>
      <w:lang w:eastAsia="zh-CN"/>
    </w:rPr>
  </w:style>
  <w:style w:type="character" w:customStyle="1" w:styleId="Heading8Char">
    <w:name w:val="Heading 8 Char"/>
    <w:basedOn w:val="DefaultParagraphFont"/>
    <w:link w:val="Heading8"/>
    <w:rsid w:val="009E39EF"/>
    <w:rPr>
      <w:lang w:eastAsia="zh-CN"/>
    </w:rPr>
  </w:style>
  <w:style w:type="character" w:customStyle="1" w:styleId="Heading9Char">
    <w:name w:val="Heading 9 Char"/>
    <w:basedOn w:val="DefaultParagraphFont"/>
    <w:link w:val="Heading9"/>
    <w:rsid w:val="009E39EF"/>
    <w:rPr>
      <w:lang w:eastAsia="zh-CN"/>
    </w:rPr>
  </w:style>
  <w:style w:type="character" w:styleId="Hyperlink">
    <w:name w:val="Hyperlink"/>
    <w:rsid w:val="009E39EF"/>
    <w:rPr>
      <w:color w:val="0000FF"/>
      <w:u w:val="single"/>
    </w:rPr>
  </w:style>
  <w:style w:type="character" w:styleId="PageNumber">
    <w:name w:val="page number"/>
    <w:basedOn w:val="DefaultParagraphFont"/>
    <w:rsid w:val="009E39EF"/>
  </w:style>
  <w:style w:type="character" w:styleId="UnresolvedMention">
    <w:name w:val="Unresolved Mention"/>
    <w:basedOn w:val="DefaultParagraphFont"/>
    <w:uiPriority w:val="99"/>
    <w:semiHidden/>
    <w:unhideWhenUsed/>
    <w:rsid w:val="009E39EF"/>
    <w:rPr>
      <w:color w:val="605E5C"/>
      <w:shd w:val="clear" w:color="auto" w:fill="E1DFDD"/>
    </w:rPr>
  </w:style>
  <w:style w:type="paragraph" w:styleId="ListParagraph">
    <w:name w:val="List Paragraph"/>
    <w:basedOn w:val="Normal"/>
    <w:uiPriority w:val="34"/>
    <w:qFormat/>
    <w:rsid w:val="009E39EF"/>
    <w:pPr>
      <w:ind w:left="720"/>
      <w:contextualSpacing/>
    </w:pPr>
  </w:style>
  <w:style w:type="paragraph" w:styleId="NormalWeb">
    <w:name w:val="Normal (Web)"/>
    <w:basedOn w:val="Normal"/>
    <w:uiPriority w:val="99"/>
    <w:semiHidden/>
    <w:unhideWhenUsed/>
    <w:rsid w:val="001E0211"/>
  </w:style>
  <w:style w:type="paragraph" w:styleId="Revision">
    <w:name w:val="Revision"/>
    <w:hidden/>
    <w:uiPriority w:val="99"/>
    <w:semiHidden/>
    <w:rsid w:val="00EE2337"/>
    <w:pPr>
      <w:widowControl/>
      <w:spacing w:after="0"/>
      <w:jc w:val="left"/>
    </w:pPr>
    <w:rPr>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5EeC8rn2OD_THv9vg22VeyB1eurXX9UtqTtSd1I1ajU/edit?usp=sharing" TargetMode="External"/><Relationship Id="rId13" Type="http://schemas.openxmlformats.org/officeDocument/2006/relationships/hyperlink" Target="https://easychair.org/conferences/?conf=acadia2026"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guides.nps.edu/citation/chicago-nb"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guru.com/g/chicago-software-citation/" TargetMode="External"/><Relationship Id="rId5" Type="http://schemas.openxmlformats.org/officeDocument/2006/relationships/webSettings" Target="webSettings.xml"/><Relationship Id="rId15" Type="http://schemas.openxmlformats.org/officeDocument/2006/relationships/hyperlink" Target="http://www.chicagomanualofstyle.org/tools_citationguide.html" TargetMode="Externa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2026.acadia.org/call-for-papers" TargetMode="External"/><Relationship Id="rId14" Type="http://schemas.openxmlformats.org/officeDocument/2006/relationships/hyperlink" Target="https://docs.google.com/document/d/15EeC8rn2OD_THv9vg22VeyB1eurXX9UtqTtSd1I1ajU/edit?usp=sharing"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QktqMPv34UfheaE6IWrywj7ow==">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2127</Words>
  <Characters>11870</Characters>
  <Application>Microsoft Office Word</Application>
  <DocSecurity>0</DocSecurity>
  <Lines>211</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Mohamed Abdelbagi (mai6gx)</dc:creator>
  <cp:lastModifiedBy>Daniel Koehler</cp:lastModifiedBy>
  <cp:revision>5</cp:revision>
  <dcterms:created xsi:type="dcterms:W3CDTF">2026-02-10T14:51:00Z</dcterms:created>
  <dcterms:modified xsi:type="dcterms:W3CDTF">2026-03-16T15:20:00Z</dcterms:modified>
</cp:coreProperties>
</file>