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" w:line="226" w:lineRule="auto"/>
      </w:pPr>
      <w:r>
        <w:rPr>
          <w:rFonts w:ascii="Arial" w:hAnsi="Arial"/>
          <w:b/>
          <w:i w:val="0"/>
          <w:color w:val="20394D"/>
          <w:sz w:val="48"/>
        </w:rPr>
        <w:t>ROMARIC CLEMENTI</w:t>
      </w:r>
    </w:p>
    <w:p>
      <w:pPr>
        <w:keepNext/>
        <w:spacing w:before="0" w:after="10" w:line="235" w:lineRule="auto"/>
      </w:pPr>
      <w:r>
        <w:rPr>
          <w:rFonts w:ascii="Arial" w:hAnsi="Arial"/>
          <w:b/>
          <w:i w:val="0"/>
          <w:color w:val="0A98A8"/>
          <w:sz w:val="27"/>
        </w:rPr>
        <w:t>Technical Procurement, ERP &amp; Operational Improvement</w:t>
      </w:r>
    </w:p>
    <w:p>
      <w:pPr>
        <w:keepNext/>
        <w:spacing w:before="0" w:after="16" w:line="240" w:lineRule="auto"/>
      </w:pPr>
      <w:r>
        <w:rPr>
          <w:rFonts w:ascii="Arial" w:hAnsi="Arial"/>
          <w:b w:val="0"/>
          <w:i w:val="0"/>
          <w:color w:val="2E3338"/>
          <w:sz w:val="17"/>
        </w:rPr>
        <w:t>Procurement &amp; supplier operations | supply planning &amp; materials | ERP &amp; master data | process improvement</w:t>
      </w:r>
    </w:p>
    <w:p>
      <w:pPr>
        <w:keepNext/>
        <w:spacing w:before="0" w:after="28" w:line="240" w:lineRule="auto"/>
      </w:pPr>
      <w:r>
        <w:rPr>
          <w:rFonts w:ascii="Arial" w:hAnsi="Arial"/>
          <w:b w:val="0"/>
          <w:i w:val="0"/>
          <w:color w:val="5A6268"/>
          <w:sz w:val="17"/>
        </w:rPr>
        <w:t xml:space="preserve">Tune, Greater Copenhagen | +45 28 73 74 85 | </w:t>
      </w:r>
      <w:hyperlink r:id="rId9">
        <w:r>
          <w:rPr>
            <w:color w:val="5A6268"/>
            <w:u w:val="none"/>
            <w:sz w:val="17"/>
          </w:rPr>
          <w:t>clementiromaric@protonmail.com</w:t>
        </w:r>
      </w:hyperlink>
      <w:r>
        <w:rPr>
          <w:rFonts w:ascii="Arial" w:hAnsi="Arial"/>
          <w:b w:val="0"/>
          <w:i w:val="0"/>
          <w:color w:val="5A6268"/>
          <w:sz w:val="17"/>
        </w:rPr>
        <w:t xml:space="preserve"> | EU citizen - Denmark/Sweden work authorisation, no sponsorship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shd w:fill="EEF5F6"/>
            <w:tcBorders>
              <w:top w:val="single" w:sz="4" w:color="C7D4D8"/>
              <w:left w:val="single" w:sz="4" w:color="C7D4D8"/>
              <w:bottom w:val="single" w:sz="4" w:color="C7D4D8"/>
              <w:right w:val="single" w:sz="4" w:color="C7D4D8"/>
            </w:tcBorders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/>
                <w:i w:val="0"/>
                <w:color w:val="0A98A8"/>
                <w:sz w:val="14"/>
              </w:rPr>
              <w:t xml:space="preserve">Professional focus  </w:t>
            </w:r>
            <w:r>
              <w:rPr>
                <w:rFonts w:ascii="Arial" w:hAnsi="Arial"/>
                <w:b/>
                <w:i w:val="0"/>
                <w:color w:val="20394D"/>
                <w:sz w:val="15"/>
              </w:rPr>
              <w:t>Technical Procurement | Supply Planning &amp; Materials | ERP &amp; Master Data | Business Systems &amp; Process Improvement</w:t>
            </w:r>
          </w:p>
        </w:tc>
      </w:tr>
    </w:tbl>
    <w:p>
      <w:pPr>
        <w:keepNext/>
        <w:spacing w:before="0" w:after="48" w:line="240" w:lineRule="auto"/>
        <w:pBdr>
          <w:bottom w:val="single" w:sz="12" w:space="1" w:color="0A98A8"/>
        </w:pBdr>
      </w:pPr>
      <w:r>
        <w:rPr>
          <w:rFonts w:ascii="Arial" w:hAnsi="Arial"/>
          <w:b/>
          <w:i w:val="0"/>
          <w:color w:val="20394D"/>
          <w:sz w:val="27"/>
        </w:rPr>
        <w:t>Profile</w:t>
      </w:r>
    </w:p>
    <w:p>
      <w:pPr>
        <w:keepNext w:val="0"/>
        <w:spacing w:before="10" w:after="44" w:line="256" w:lineRule="auto"/>
      </w:pPr>
      <w:r>
        <w:rPr>
          <w:rFonts w:ascii="Arial" w:hAnsi="Arial"/>
          <w:b w:val="0"/>
          <w:i w:val="0"/>
          <w:color w:val="2E3338"/>
          <w:sz w:val="17"/>
        </w:rPr>
        <w:t>Cross-functional procurement, supply chain and business systems professional with broad international experience spanning technical manufacturing, FMCG, distribution and customer operations in Denmark, New Zealand, Australia and France. Brings hands-on ownership across supplier decisions, purchasing, planning, ERP/master data, production readiness, commercial analysis and process improvement, connecting operational detail with wider business priorities. At A.K.S. Finmekanik managed supplier and material actions across 30+ EU/US suppliers while maintaining 2,000+ Dynamics AX/D365 records and 200+ complex product structures. Earlier roles add SAP-based purchasing and FMCG planning, WMS inventory control, international order-to-cash, commercial and demand analysis, and a technical foundation in electrotechnics, automated production, quality systems and root-cause methods. Known for learning systems quickly, spotting risks early and turning cross-functional issues into clear actions and reliable follow-through.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5F6"/>
            <w:tcBorders>
              <w:top w:val="single" w:sz="4" w:color="C7D4D8"/>
              <w:left w:val="single" w:sz="4" w:color="C7D4D8"/>
              <w:bottom w:val="single" w:sz="4" w:color="C7D4D8"/>
              <w:right w:val="single" w:sz="4" w:color="C7D4D8"/>
            </w:tcBorders>
            <w:tcMar>
              <w:top w:w="60" w:type="dxa"/>
              <w:start w:w="40" w:type="dxa"/>
              <w:bottom w:w="60" w:type="dxa"/>
              <w:end w:w="40" w:type="dxa"/>
            </w:tcMar>
            <w:vAlign w:val="center"/>
          </w:tcPr>
          <w:p>
            <w:pPr>
              <w:keepNext w:val="0"/>
              <w:spacing w:before="0" w:after="10" w:line="251" w:lineRule="auto"/>
              <w:jc w:val="center"/>
            </w:pPr>
            <w:r>
              <w:rPr>
                <w:rFonts w:ascii="Arial" w:hAnsi="Arial"/>
                <w:b/>
                <w:i w:val="0"/>
                <w:color w:val="20394D"/>
                <w:sz w:val="30"/>
              </w:rPr>
              <w:t>30+</w:t>
            </w:r>
          </w:p>
          <w:p>
            <w:pPr>
              <w:keepNext w:val="0"/>
              <w:spacing w:before="0" w:after="10" w:line="251" w:lineRule="auto"/>
              <w:jc w:val="center"/>
            </w:pPr>
            <w:r>
              <w:rPr>
                <w:rFonts w:ascii="Arial" w:hAnsi="Arial"/>
                <w:b/>
                <w:i w:val="0"/>
                <w:color w:val="20394D"/>
                <w:sz w:val="13"/>
              </w:rPr>
              <w:t>EU / US SUPPLIERS</w:t>
            </w:r>
          </w:p>
        </w:tc>
        <w:tc>
          <w:tcPr>
            <w:tcW w:type="dxa" w:w="2664"/>
            <w:shd w:fill="F7F7F5"/>
            <w:tcBorders>
              <w:top w:val="single" w:sz="4" w:color="C7D4D8"/>
              <w:left w:val="single" w:sz="4" w:color="C7D4D8"/>
              <w:bottom w:val="single" w:sz="4" w:color="C7D4D8"/>
              <w:right w:val="single" w:sz="4" w:color="C7D4D8"/>
            </w:tcBorders>
            <w:tcMar>
              <w:top w:w="60" w:type="dxa"/>
              <w:start w:w="40" w:type="dxa"/>
              <w:bottom w:w="60" w:type="dxa"/>
              <w:end w:w="40" w:type="dxa"/>
            </w:tcMar>
            <w:vAlign w:val="center"/>
          </w:tcPr>
          <w:p>
            <w:pPr>
              <w:keepNext w:val="0"/>
              <w:spacing w:before="0" w:after="10" w:line="251" w:lineRule="auto"/>
              <w:jc w:val="center"/>
            </w:pPr>
            <w:r>
              <w:rPr>
                <w:rFonts w:ascii="Arial" w:hAnsi="Arial"/>
                <w:b/>
                <w:i w:val="0"/>
                <w:color w:val="20394D"/>
                <w:sz w:val="30"/>
              </w:rPr>
              <w:t>2,000+</w:t>
            </w:r>
          </w:p>
          <w:p>
            <w:pPr>
              <w:keepNext w:val="0"/>
              <w:spacing w:before="0" w:after="10" w:line="251" w:lineRule="auto"/>
              <w:jc w:val="center"/>
            </w:pPr>
            <w:r>
              <w:rPr>
                <w:rFonts w:ascii="Arial" w:hAnsi="Arial"/>
                <w:b/>
                <w:i w:val="0"/>
                <w:color w:val="20394D"/>
                <w:sz w:val="13"/>
              </w:rPr>
              <w:t>ERP &amp; MASTER DATA</w:t>
              <w:br/>
              <w:t>RECORDS</w:t>
            </w:r>
          </w:p>
        </w:tc>
        <w:tc>
          <w:tcPr>
            <w:tcW w:type="dxa" w:w="2664"/>
            <w:shd w:fill="EEF5F6"/>
            <w:tcBorders>
              <w:top w:val="single" w:sz="4" w:color="C7D4D8"/>
              <w:left w:val="single" w:sz="4" w:color="C7D4D8"/>
              <w:bottom w:val="single" w:sz="4" w:color="C7D4D8"/>
              <w:right w:val="single" w:sz="4" w:color="C7D4D8"/>
            </w:tcBorders>
            <w:tcMar>
              <w:top w:w="60" w:type="dxa"/>
              <w:start w:w="40" w:type="dxa"/>
              <w:bottom w:w="60" w:type="dxa"/>
              <w:end w:w="40" w:type="dxa"/>
            </w:tcMar>
            <w:vAlign w:val="center"/>
          </w:tcPr>
          <w:p>
            <w:pPr>
              <w:keepNext w:val="0"/>
              <w:spacing w:before="0" w:after="10" w:line="251" w:lineRule="auto"/>
              <w:jc w:val="center"/>
            </w:pPr>
            <w:r>
              <w:rPr>
                <w:rFonts w:ascii="Arial" w:hAnsi="Arial"/>
                <w:b/>
                <w:i w:val="0"/>
                <w:color w:val="20394D"/>
                <w:sz w:val="30"/>
              </w:rPr>
              <w:t>200+</w:t>
            </w:r>
          </w:p>
          <w:p>
            <w:pPr>
              <w:keepNext w:val="0"/>
              <w:spacing w:before="0" w:after="10" w:line="251" w:lineRule="auto"/>
              <w:jc w:val="center"/>
            </w:pPr>
            <w:r>
              <w:rPr>
                <w:rFonts w:ascii="Arial" w:hAnsi="Arial"/>
                <w:b/>
                <w:i w:val="0"/>
                <w:color w:val="20394D"/>
                <w:sz w:val="13"/>
              </w:rPr>
              <w:t>COMPLEX PRODUCT / BOM</w:t>
              <w:br/>
              <w:t>STRUCTURES</w:t>
            </w:r>
          </w:p>
        </w:tc>
        <w:tc>
          <w:tcPr>
            <w:tcW w:type="dxa" w:w="2664"/>
            <w:shd w:fill="F7F7F5"/>
            <w:tcBorders>
              <w:top w:val="single" w:sz="4" w:color="C7D4D8"/>
              <w:left w:val="single" w:sz="4" w:color="C7D4D8"/>
              <w:bottom w:val="single" w:sz="4" w:color="C7D4D8"/>
              <w:right w:val="single" w:sz="4" w:color="C7D4D8"/>
            </w:tcBorders>
            <w:tcMar>
              <w:top w:w="60" w:type="dxa"/>
              <w:start w:w="40" w:type="dxa"/>
              <w:bottom w:w="60" w:type="dxa"/>
              <w:end w:w="40" w:type="dxa"/>
            </w:tcMar>
            <w:vAlign w:val="center"/>
          </w:tcPr>
          <w:p>
            <w:pPr>
              <w:keepNext w:val="0"/>
              <w:spacing w:before="0" w:after="10" w:line="251" w:lineRule="auto"/>
              <w:jc w:val="center"/>
            </w:pPr>
            <w:r>
              <w:rPr>
                <w:rFonts w:ascii="Arial" w:hAnsi="Arial"/>
                <w:b/>
                <w:i w:val="0"/>
                <w:color w:val="20394D"/>
                <w:sz w:val="30"/>
              </w:rPr>
              <w:t>100+ ITEMS</w:t>
            </w:r>
          </w:p>
          <w:p>
            <w:pPr>
              <w:keepNext w:val="0"/>
              <w:spacing w:before="0" w:after="10" w:line="251" w:lineRule="auto"/>
              <w:jc w:val="center"/>
            </w:pPr>
            <w:r>
              <w:rPr>
                <w:rFonts w:ascii="Arial" w:hAnsi="Arial"/>
                <w:b/>
                <w:i w:val="0"/>
                <w:color w:val="20394D"/>
                <w:sz w:val="13"/>
              </w:rPr>
              <w:t>COST / PRICE ISSUE</w:t>
              <w:br/>
              <w:t>CAUGHT BEFORE QUOTE</w:t>
            </w:r>
          </w:p>
        </w:tc>
      </w:tr>
    </w:tbl>
    <w:p>
      <w:pPr>
        <w:keepNext/>
        <w:spacing w:before="24" w:after="48" w:line="240" w:lineRule="auto"/>
        <w:pBdr>
          <w:bottom w:val="single" w:sz="12" w:space="1" w:color="0A98A8"/>
        </w:pBdr>
      </w:pPr>
      <w:r>
        <w:rPr>
          <w:rFonts w:ascii="Arial" w:hAnsi="Arial"/>
          <w:b/>
          <w:i w:val="0"/>
          <w:color w:val="20394D"/>
          <w:sz w:val="27"/>
        </w:rPr>
        <w:t>Core capabilities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shd w:fill="EEF5F6"/>
            <w:tcBorders>
              <w:top w:val="single" w:sz="3" w:color="C7D4D8"/>
              <w:left w:val="single" w:sz="3" w:color="C7D4D8"/>
              <w:bottom w:val="single" w:sz="3" w:color="C7D4D8"/>
              <w:right w:val="single" w:sz="3" w:color="C7D4D8"/>
            </w:tcBorders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/>
                <w:i w:val="0"/>
                <w:color w:val="20394D"/>
                <w:sz w:val="14"/>
              </w:rPr>
              <w:t>TECHNICAL PROCUREMENT &amp; SUPPLIER OPERATIONS</w:t>
            </w:r>
          </w:p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 w:val="0"/>
                <w:i w:val="0"/>
                <w:color w:val="2E3338"/>
                <w:sz w:val="15"/>
              </w:rPr>
              <w:t>PO/open-order control, RFQs, offer evaluation, supplier selection/replacement, routine awards within delegated authority, operational negotiations, expediting, delivery/quality recovery, invoice exceptions and framework/call-off execution.</w:t>
            </w:r>
          </w:p>
        </w:tc>
        <w:tc>
          <w:tcPr>
            <w:tcW w:type="dxa" w:w="5329"/>
            <w:shd w:fill="F7F7F5"/>
            <w:tcBorders>
              <w:top w:val="single" w:sz="3" w:color="C7D4D8"/>
              <w:left w:val="single" w:sz="3" w:color="C7D4D8"/>
              <w:bottom w:val="single" w:sz="3" w:color="C7D4D8"/>
              <w:right w:val="single" w:sz="3" w:color="C7D4D8"/>
            </w:tcBorders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/>
                <w:i w:val="0"/>
                <w:color w:val="20394D"/>
                <w:sz w:val="14"/>
              </w:rPr>
              <w:t>PLANNING, ERP &amp; MASTER DATA</w:t>
            </w:r>
          </w:p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 w:val="0"/>
                <w:i w:val="0"/>
                <w:color w:val="2E3338"/>
                <w:sz w:val="15"/>
              </w:rPr>
              <w:t>Dynamics AX/D365, SAP, NAV/Navision and WMS; MRP, stock/incoming supply, shortages, replanning, production-order release, BOMs, routings, planning parameters, lifecycle/phase-in-out, approved changes and first-production readiness.</w:t>
            </w:r>
          </w:p>
        </w:tc>
      </w:tr>
      <w:tr>
        <w:tc>
          <w:tcPr>
            <w:tcW w:type="dxa" w:w="5329"/>
            <w:shd w:fill="F7F7F5"/>
            <w:tcBorders>
              <w:top w:val="single" w:sz="3" w:color="C7D4D8"/>
              <w:left w:val="single" w:sz="3" w:color="C7D4D8"/>
              <w:bottom w:val="single" w:sz="3" w:color="C7D4D8"/>
              <w:right w:val="single" w:sz="3" w:color="C7D4D8"/>
            </w:tcBorders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/>
                <w:i w:val="0"/>
                <w:color w:val="20394D"/>
                <w:sz w:val="14"/>
              </w:rPr>
              <w:t>BUSINESS OPERATIONS &amp; COMMERCIAL ANALYSIS</w:t>
            </w:r>
          </w:p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 w:val="0"/>
                <w:i w:val="0"/>
                <w:color w:val="2E3338"/>
                <w:sz w:val="15"/>
              </w:rPr>
              <w:t>Order-to-cash, pricing/quotation inputs, receivables and service recovery; sales/category/geographic analysis, campaign-gap review, CRM/process development, forecast accuracy/bias and operational reporting.</w:t>
            </w:r>
          </w:p>
        </w:tc>
        <w:tc>
          <w:tcPr>
            <w:tcW w:type="dxa" w:w="5329"/>
            <w:shd w:fill="EEF5F6"/>
            <w:tcBorders>
              <w:top w:val="single" w:sz="3" w:color="C7D4D8"/>
              <w:left w:val="single" w:sz="3" w:color="C7D4D8"/>
              <w:bottom w:val="single" w:sz="3" w:color="C7D4D8"/>
              <w:right w:val="single" w:sz="3" w:color="C7D4D8"/>
            </w:tcBorders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/>
                <w:i w:val="0"/>
                <w:color w:val="20394D"/>
                <w:sz w:val="14"/>
              </w:rPr>
              <w:t>QUALITY, PROCESS &amp; CONTINUOUS IMPROVEMENT</w:t>
            </w:r>
          </w:p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 w:val="0"/>
                <w:i w:val="0"/>
                <w:color w:val="2E3338"/>
                <w:sz w:val="15"/>
              </w:rPr>
              <w:t>ISO 9001, internal/process audits, root-cause analysis, Lean/5S, Six Sigma, controlled operations, FAI, NCR/SCAR, traceability, controlled documentation, standard work and validation controls.</w:t>
            </w:r>
          </w:p>
        </w:tc>
      </w:tr>
    </w:tbl>
    <w:p>
      <w:pPr>
        <w:keepNext/>
        <w:spacing w:before="24" w:after="48" w:line="240" w:lineRule="auto"/>
        <w:pBdr>
          <w:bottom w:val="single" w:sz="12" w:space="1" w:color="0A98A8"/>
        </w:pBdr>
      </w:pPr>
      <w:r>
        <w:rPr>
          <w:rFonts w:ascii="Arial" w:hAnsi="Arial"/>
          <w:b/>
          <w:i w:val="0"/>
          <w:color w:val="20394D"/>
          <w:sz w:val="27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77"/>
        <w:gridCol w:w="2381"/>
      </w:tblGrid>
      <w:tr>
        <w:tc>
          <w:tcPr>
            <w:tcW w:type="dxa" w:w="8277"/>
            <w:tcMar>
              <w:top w:w="10" w:type="dxa"/>
              <w:start w:w="0" w:type="dxa"/>
              <w:bottom w:w="0" w:type="dxa"/>
              <w:end w:w="0" w:type="dxa"/>
            </w:tcMar>
            <w:tcBorders>
              <w:bottom w:val="single" w:sz="3" w:color="D8E0E3"/>
            </w:tcBorders>
          </w:tcPr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/>
                <w:i w:val="0"/>
                <w:color w:val="20394D"/>
                <w:sz w:val="17"/>
              </w:rPr>
              <w:t>Planning, Supply Chain &amp; Quality Coordinator | A.K.S. Finmekanik A/S, Hvidovre</w:t>
            </w:r>
          </w:p>
        </w:tc>
        <w:tc>
          <w:tcPr>
            <w:tcW w:type="dxa" w:w="2381"/>
            <w:tcMar>
              <w:top w:w="10" w:type="dxa"/>
              <w:start w:w="0" w:type="dxa"/>
              <w:bottom w:w="0" w:type="dxa"/>
              <w:end w:w="0" w:type="dxa"/>
            </w:tcMar>
            <w:tcBorders>
              <w:bottom w:val="single" w:sz="3" w:color="D8E0E3"/>
            </w:tcBorders>
          </w:tcPr>
          <w:p>
            <w:pPr>
              <w:keepNext w:val="0"/>
              <w:spacing w:before="0" w:after="10" w:line="251" w:lineRule="auto"/>
              <w:jc w:val="right"/>
            </w:pPr>
            <w:r>
              <w:rPr>
                <w:rFonts w:ascii="Arial" w:hAnsi="Arial"/>
                <w:b/>
                <w:i w:val="0"/>
                <w:color w:val="5A6268"/>
                <w:sz w:val="16"/>
              </w:rPr>
              <w:t>Jul 2024 - Jun 2025</w:t>
            </w:r>
          </w:p>
        </w:tc>
      </w:tr>
    </w:tbl>
    <w:p>
      <w:pPr>
        <w:keepNext w:val="0"/>
        <w:spacing w:before="0" w:after="23" w:line="256" w:lineRule="auto"/>
        <w:ind w:left="147" w:hanging="119"/>
      </w:pPr>
      <w:r>
        <w:rPr>
          <w:rFonts w:ascii="Arial" w:hAnsi="Arial"/>
          <w:b/>
          <w:i w:val="0"/>
          <w:color w:val="0A98A8"/>
          <w:sz w:val="17"/>
        </w:rPr>
        <w:t xml:space="preserve">• </w:t>
      </w:r>
      <w:r>
        <w:rPr>
          <w:rFonts w:ascii="Arial" w:hAnsi="Arial"/>
          <w:b/>
          <w:i w:val="0"/>
          <w:color w:val="20394D"/>
          <w:sz w:val="17"/>
        </w:rPr>
        <w:t xml:space="preserve">Purchasing and sourcing authority: </w:t>
      </w:r>
      <w:r>
        <w:rPr>
          <w:rFonts w:ascii="Arial" w:hAnsi="Arial"/>
          <w:b w:val="0"/>
          <w:i w:val="0"/>
          <w:color w:val="2E3338"/>
          <w:sz w:val="17"/>
        </w:rPr>
        <w:t>Managed daily PO/open-order execution across 30+ EU/US suppliers; prepared RFQs, evaluated offers and made day-to-day sourcing and supplier decisions within assigned scope, including supplier selection/replacement and routine awards; negotiated price, payment terms and lead times, escalating major, high-risk or final commitments where required.</w:t>
      </w:r>
    </w:p>
    <w:p>
      <w:pPr>
        <w:keepNext w:val="0"/>
        <w:spacing w:before="0" w:after="23" w:line="256" w:lineRule="auto"/>
        <w:ind w:left="147" w:hanging="119"/>
      </w:pPr>
      <w:r>
        <w:rPr>
          <w:rFonts w:ascii="Arial" w:hAnsi="Arial"/>
          <w:b/>
          <w:i w:val="0"/>
          <w:color w:val="0A98A8"/>
          <w:sz w:val="17"/>
        </w:rPr>
        <w:t xml:space="preserve">• </w:t>
      </w:r>
      <w:r>
        <w:rPr>
          <w:rFonts w:ascii="Arial" w:hAnsi="Arial"/>
          <w:b/>
          <w:i w:val="0"/>
          <w:color w:val="20394D"/>
          <w:sz w:val="17"/>
        </w:rPr>
        <w:t xml:space="preserve">ERP, product data and controlled change: </w:t>
      </w:r>
      <w:r>
        <w:rPr>
          <w:rFonts w:ascii="Arial" w:hAnsi="Arial"/>
          <w:b w:val="0"/>
          <w:i w:val="0"/>
          <w:color w:val="2E3338"/>
          <w:sz w:val="17"/>
        </w:rPr>
        <w:t>Maintained and validated 2,000+ item, supplier and product/master-data records in Dynamics AX/D365; created or validated 200+ revision-controlled multi-level structures in about two weeks and translated approved customer/engineering changes into controlled BOM, routing, material and production-data updates.</w:t>
      </w:r>
    </w:p>
    <w:p>
      <w:pPr>
        <w:keepNext w:val="0"/>
        <w:spacing w:before="0" w:after="23" w:line="256" w:lineRule="auto"/>
        <w:ind w:left="147" w:hanging="119"/>
      </w:pPr>
      <w:r>
        <w:rPr>
          <w:rFonts w:ascii="Arial" w:hAnsi="Arial"/>
          <w:b/>
          <w:i w:val="0"/>
          <w:color w:val="0A98A8"/>
          <w:sz w:val="17"/>
        </w:rPr>
        <w:t xml:space="preserve">• </w:t>
      </w:r>
      <w:r>
        <w:rPr>
          <w:rFonts w:ascii="Arial" w:hAnsi="Arial"/>
          <w:b/>
          <w:i w:val="0"/>
          <w:color w:val="20394D"/>
          <w:sz w:val="17"/>
        </w:rPr>
        <w:t xml:space="preserve">Planning, lifecycle and production readiness: </w:t>
      </w:r>
      <w:r>
        <w:rPr>
          <w:rFonts w:ascii="Arial" w:hAnsi="Arial"/>
          <w:b w:val="0"/>
          <w:i w:val="0"/>
          <w:color w:val="2E3338"/>
          <w:sz w:val="17"/>
        </w:rPr>
        <w:t>Used MRP, stock/incoming supply, shortages, supplier lead time/capacity and phase-in/phase-out signals to replan priorities, release production orders within assigned scope and protect prototypes, first articles, revised products and customer commitments.</w:t>
      </w:r>
    </w:p>
    <w:p>
      <w:pPr>
        <w:keepNext w:val="0"/>
        <w:spacing w:before="0" w:after="23" w:line="256" w:lineRule="auto"/>
        <w:ind w:left="147" w:hanging="119"/>
      </w:pPr>
      <w:r>
        <w:rPr>
          <w:rFonts w:ascii="Arial" w:hAnsi="Arial"/>
          <w:b/>
          <w:i w:val="0"/>
          <w:color w:val="0A98A8"/>
          <w:sz w:val="17"/>
        </w:rPr>
        <w:t xml:space="preserve">• </w:t>
      </w:r>
      <w:r>
        <w:rPr>
          <w:rFonts w:ascii="Arial" w:hAnsi="Arial"/>
          <w:b/>
          <w:i w:val="0"/>
          <w:color w:val="20394D"/>
          <w:sz w:val="17"/>
        </w:rPr>
        <w:t xml:space="preserve">Supplier quality and regulated operations: </w:t>
      </w:r>
      <w:r>
        <w:rPr>
          <w:rFonts w:ascii="Arial" w:hAnsi="Arial"/>
          <w:b w:val="0"/>
          <w:i w:val="0"/>
          <w:color w:val="2E3338"/>
          <w:sz w:val="17"/>
        </w:rPr>
        <w:t>Followed delivery and quality issues, configuration-audit evidence, FAI, NCR/SCAR, corrective actions, traceability, certificates, rework/returns and export-sensitive workflows; supported P2P/invoice-exception resolution while specialist approvals remained with responsible owners.</w:t>
      </w:r>
    </w:p>
    <w:p>
      <w:pPr>
        <w:keepNext w:val="0"/>
        <w:spacing w:before="0" w:after="23" w:line="256" w:lineRule="auto"/>
        <w:ind w:left="147" w:hanging="119"/>
      </w:pPr>
      <w:r>
        <w:rPr>
          <w:rFonts w:ascii="Arial" w:hAnsi="Arial"/>
          <w:b/>
          <w:i w:val="0"/>
          <w:color w:val="0A98A8"/>
          <w:sz w:val="17"/>
        </w:rPr>
        <w:t xml:space="preserve">• </w:t>
      </w:r>
      <w:r>
        <w:rPr>
          <w:rFonts w:ascii="Arial" w:hAnsi="Arial"/>
          <w:b/>
          <w:i w:val="0"/>
          <w:color w:val="20394D"/>
          <w:sz w:val="17"/>
        </w:rPr>
        <w:t xml:space="preserve">Control and results: </w:t>
      </w:r>
      <w:r>
        <w:rPr>
          <w:rFonts w:ascii="Arial" w:hAnsi="Arial"/>
          <w:b w:val="0"/>
          <w:i w:val="0"/>
          <w:color w:val="2E3338"/>
          <w:sz w:val="17"/>
        </w:rPr>
        <w:t>Built trackers, handover routines and repeatable validation checks; caught conflicting cost/sales-price data affecting 100+ items before a major quotation and maintained critical supply/production-readiness follow-up during reduced team coverage.</w:t>
      </w:r>
    </w:p>
    <w:p>
      <w:pPr>
        <w:keepNext w:val="0"/>
        <w:spacing w:before="0" w:after="24" w:line="247" w:lineRule="auto"/>
      </w:pPr>
      <w:r>
        <w:rPr>
          <w:rFonts w:ascii="Arial" w:hAnsi="Arial"/>
          <w:b w:val="0"/>
          <w:i/>
          <w:color w:val="5A6268"/>
          <w:sz w:val="14"/>
        </w:rPr>
        <w:t>Employment ended following the company bankruptcy in 2025.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77"/>
        <w:gridCol w:w="2381"/>
      </w:tblGrid>
      <w:tr>
        <w:tc>
          <w:tcPr>
            <w:tcW w:type="dxa" w:w="8277"/>
            <w:tcMar>
              <w:top w:w="10" w:type="dxa"/>
              <w:start w:w="0" w:type="dxa"/>
              <w:bottom w:w="0" w:type="dxa"/>
              <w:end w:w="0" w:type="dxa"/>
            </w:tcMar>
            <w:tcBorders>
              <w:bottom w:val="single" w:sz="3" w:color="D8E0E3"/>
            </w:tcBorders>
          </w:tcPr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/>
                <w:i w:val="0"/>
                <w:color w:val="20394D"/>
                <w:sz w:val="17"/>
              </w:rPr>
              <w:t>Pedagogical Assistant (SFO) | Greve Kommune, Denmark</w:t>
            </w:r>
          </w:p>
        </w:tc>
        <w:tc>
          <w:tcPr>
            <w:tcW w:type="dxa" w:w="2381"/>
            <w:tcMar>
              <w:top w:w="10" w:type="dxa"/>
              <w:start w:w="0" w:type="dxa"/>
              <w:bottom w:w="0" w:type="dxa"/>
              <w:end w:w="0" w:type="dxa"/>
            </w:tcMar>
            <w:tcBorders>
              <w:bottom w:val="single" w:sz="3" w:color="D8E0E3"/>
            </w:tcBorders>
          </w:tcPr>
          <w:p>
            <w:pPr>
              <w:keepNext w:val="0"/>
              <w:spacing w:before="0" w:after="10" w:line="251" w:lineRule="auto"/>
              <w:jc w:val="right"/>
            </w:pPr>
            <w:r>
              <w:rPr>
                <w:rFonts w:ascii="Arial" w:hAnsi="Arial"/>
                <w:b/>
                <w:i w:val="0"/>
                <w:color w:val="5A6268"/>
                <w:sz w:val="16"/>
              </w:rPr>
              <w:t>Jul 2022 - Jun 2024</w:t>
            </w:r>
          </w:p>
        </w:tc>
      </w:tr>
    </w:tbl>
    <w:p>
      <w:pPr>
        <w:keepNext w:val="0"/>
        <w:spacing w:before="0" w:after="23" w:line="256" w:lineRule="auto"/>
        <w:ind w:left="147" w:hanging="119"/>
      </w:pPr>
      <w:r>
        <w:rPr>
          <w:rFonts w:ascii="Arial" w:hAnsi="Arial"/>
          <w:b/>
          <w:i w:val="0"/>
          <w:color w:val="0A98A8"/>
          <w:sz w:val="17"/>
        </w:rPr>
        <w:t xml:space="preserve">• </w:t>
      </w:r>
      <w:r>
        <w:rPr>
          <w:rFonts w:ascii="Arial" w:hAnsi="Arial"/>
          <w:b/>
          <w:i w:val="0"/>
          <w:color w:val="20394D"/>
          <w:sz w:val="17"/>
        </w:rPr>
        <w:t xml:space="preserve">Danish workplace and development: </w:t>
      </w:r>
      <w:r>
        <w:rPr>
          <w:rFonts w:ascii="Arial" w:hAnsi="Arial"/>
          <w:b w:val="0"/>
          <w:i w:val="0"/>
          <w:color w:val="2E3338"/>
          <w:sz w:val="17"/>
        </w:rPr>
        <w:t>Supported children and pedagogical staff through structured routines, supervision and clear handovers; completed Danish PD2/B1+, SQL/database fundamentals and Power BI/DAX training alongside the role.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77"/>
        <w:gridCol w:w="2381"/>
      </w:tblGrid>
      <w:tr>
        <w:tc>
          <w:tcPr>
            <w:tcW w:type="dxa" w:w="8277"/>
            <w:tcMar>
              <w:top w:w="10" w:type="dxa"/>
              <w:start w:w="0" w:type="dxa"/>
              <w:bottom w:w="0" w:type="dxa"/>
              <w:end w:w="0" w:type="dxa"/>
            </w:tcMar>
            <w:tcBorders>
              <w:bottom w:val="single" w:sz="3" w:color="D8E0E3"/>
            </w:tcBorders>
          </w:tcPr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/>
                <w:i w:val="0"/>
                <w:color w:val="20394D"/>
                <w:sz w:val="17"/>
              </w:rPr>
              <w:t>Warehouse Coordinator - Operations &amp; Stock Accuracy | IKEA Distribution Center, Høje Taastrup</w:t>
            </w:r>
          </w:p>
        </w:tc>
        <w:tc>
          <w:tcPr>
            <w:tcW w:type="dxa" w:w="2381"/>
            <w:tcMar>
              <w:top w:w="10" w:type="dxa"/>
              <w:start w:w="0" w:type="dxa"/>
              <w:bottom w:w="0" w:type="dxa"/>
              <w:end w:w="0" w:type="dxa"/>
            </w:tcMar>
            <w:tcBorders>
              <w:bottom w:val="single" w:sz="3" w:color="D8E0E3"/>
            </w:tcBorders>
          </w:tcPr>
          <w:p>
            <w:pPr>
              <w:keepNext w:val="0"/>
              <w:spacing w:before="0" w:after="10" w:line="251" w:lineRule="auto"/>
              <w:jc w:val="right"/>
            </w:pPr>
            <w:r>
              <w:rPr>
                <w:rFonts w:ascii="Arial" w:hAnsi="Arial"/>
                <w:b/>
                <w:i w:val="0"/>
                <w:color w:val="5A6268"/>
                <w:sz w:val="16"/>
              </w:rPr>
              <w:t>Mar 2020 - Jul 2022</w:t>
            </w:r>
          </w:p>
        </w:tc>
      </w:tr>
    </w:tbl>
    <w:p>
      <w:pPr>
        <w:keepNext w:val="0"/>
        <w:spacing w:before="0" w:after="23" w:line="256" w:lineRule="auto"/>
        <w:ind w:left="147" w:hanging="119"/>
      </w:pPr>
      <w:r>
        <w:rPr>
          <w:rFonts w:ascii="Arial" w:hAnsi="Arial"/>
          <w:b/>
          <w:i w:val="0"/>
          <w:color w:val="0A98A8"/>
          <w:sz w:val="17"/>
        </w:rPr>
        <w:t xml:space="preserve">• </w:t>
      </w:r>
      <w:r>
        <w:rPr>
          <w:rFonts w:ascii="Arial" w:hAnsi="Arial"/>
          <w:b/>
          <w:i w:val="0"/>
          <w:color w:val="20394D"/>
          <w:sz w:val="17"/>
        </w:rPr>
        <w:t xml:space="preserve">Inventory, flow and KPIs: </w:t>
      </w:r>
      <w:r>
        <w:rPr>
          <w:rFonts w:ascii="Arial" w:hAnsi="Arial"/>
          <w:b w:val="0"/>
          <w:i w:val="0"/>
          <w:color w:val="2E3338"/>
          <w:sz w:val="17"/>
        </w:rPr>
        <w:t>Used WMS-directed workflows, cycle counts and stock reconciliation to investigate discrepancies and support stock/location accuracy; followed inbound/outbound operational KPIs and used system information to prioritise daily workload.</w:t>
      </w:r>
    </w:p>
    <w:p>
      <w:pPr>
        <w:keepNext w:val="0"/>
        <w:spacing w:before="0" w:after="23" w:line="256" w:lineRule="auto"/>
        <w:ind w:left="147" w:hanging="119"/>
      </w:pPr>
      <w:r>
        <w:rPr>
          <w:rFonts w:ascii="Arial" w:hAnsi="Arial"/>
          <w:b/>
          <w:i w:val="0"/>
          <w:color w:val="0A98A8"/>
          <w:sz w:val="17"/>
        </w:rPr>
        <w:t xml:space="preserve">• </w:t>
      </w:r>
      <w:r>
        <w:rPr>
          <w:rFonts w:ascii="Arial" w:hAnsi="Arial"/>
          <w:b/>
          <w:i w:val="0"/>
          <w:color w:val="20394D"/>
          <w:sz w:val="17"/>
        </w:rPr>
        <w:t xml:space="preserve">Safety and standard work: </w:t>
      </w:r>
      <w:r>
        <w:rPr>
          <w:rFonts w:ascii="Arial" w:hAnsi="Arial"/>
          <w:b w:val="0"/>
          <w:i w:val="0"/>
          <w:color w:val="2E3338"/>
          <w:sz w:val="17"/>
        </w:rPr>
        <w:t>Held assigned safety responsibility in daily warehouse operations and improved routines, onboarding material, escalation practices and shift handovers.</w:t>
      </w:r>
    </w:p>
    <w:p>
      <w:r>
        <w:br w:type="page"/>
      </w:r>
    </w:p>
    <w:p>
      <w:pPr>
        <w:keepNext w:val="0"/>
        <w:spacing w:before="0" w:after="16" w:line="240" w:lineRule="auto"/>
      </w:pPr>
      <w:r>
        <w:rPr>
          <w:rFonts w:ascii="Arial" w:hAnsi="Arial"/>
          <w:b/>
          <w:i w:val="0"/>
          <w:color w:val="20394D"/>
          <w:sz w:val="17"/>
        </w:rPr>
        <w:t>ROMARIC CLEMENTI | TECHNICAL PROCUREMENT, ERP &amp; OPERATIONAL IMPROVEMENT</w:t>
      </w:r>
    </w:p>
    <w:p>
      <w:pPr>
        <w:keepNext/>
        <w:spacing w:before="24" w:after="48" w:line="240" w:lineRule="auto"/>
        <w:pBdr>
          <w:bottom w:val="single" w:sz="12" w:space="1" w:color="0A98A8"/>
        </w:pBdr>
      </w:pPr>
      <w:r>
        <w:rPr>
          <w:rFonts w:ascii="Arial" w:hAnsi="Arial"/>
          <w:b/>
          <w:i w:val="0"/>
          <w:color w:val="20394D"/>
          <w:sz w:val="27"/>
        </w:rPr>
        <w:t>Earlier relevant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77"/>
        <w:gridCol w:w="2381"/>
      </w:tblGrid>
      <w:tr>
        <w:tc>
          <w:tcPr>
            <w:tcW w:type="dxa" w:w="8277"/>
            <w:tcMar>
              <w:top w:w="10" w:type="dxa"/>
              <w:start w:w="0" w:type="dxa"/>
              <w:bottom w:w="0" w:type="dxa"/>
              <w:end w:w="0" w:type="dxa"/>
            </w:tcMar>
            <w:tcBorders>
              <w:bottom w:val="single" w:sz="3" w:color="D8E0E3"/>
            </w:tcBorders>
          </w:tcPr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/>
                <w:i w:val="0"/>
                <w:color w:val="20394D"/>
                <w:sz w:val="17"/>
              </w:rPr>
              <w:t>Temporary Operational Roles (Vikar / Agency Assignments) | Various employers, Denmark</w:t>
            </w:r>
          </w:p>
        </w:tc>
        <w:tc>
          <w:tcPr>
            <w:tcW w:type="dxa" w:w="2381"/>
            <w:tcMar>
              <w:top w:w="10" w:type="dxa"/>
              <w:start w:w="0" w:type="dxa"/>
              <w:bottom w:w="0" w:type="dxa"/>
              <w:end w:w="0" w:type="dxa"/>
            </w:tcMar>
            <w:tcBorders>
              <w:bottom w:val="single" w:sz="3" w:color="D8E0E3"/>
            </w:tcBorders>
          </w:tcPr>
          <w:p>
            <w:pPr>
              <w:keepNext w:val="0"/>
              <w:spacing w:before="0" w:after="10" w:line="251" w:lineRule="auto"/>
              <w:jc w:val="right"/>
            </w:pPr>
            <w:r>
              <w:rPr>
                <w:rFonts w:ascii="Arial" w:hAnsi="Arial"/>
                <w:b/>
                <w:i w:val="0"/>
                <w:color w:val="5A6268"/>
                <w:sz w:val="16"/>
              </w:rPr>
              <w:t>Jun 2018 - Feb 2020</w:t>
            </w:r>
          </w:p>
        </w:tc>
      </w:tr>
    </w:tbl>
    <w:p>
      <w:pPr>
        <w:keepNext w:val="0"/>
        <w:spacing w:before="0" w:after="23" w:line="256" w:lineRule="auto"/>
        <w:ind w:left="147" w:hanging="119"/>
      </w:pPr>
      <w:r>
        <w:rPr>
          <w:rFonts w:ascii="Arial" w:hAnsi="Arial"/>
          <w:b/>
          <w:i w:val="0"/>
          <w:color w:val="0A98A8"/>
          <w:sz w:val="17"/>
        </w:rPr>
        <w:t xml:space="preserve">• </w:t>
      </w:r>
      <w:r>
        <w:rPr>
          <w:rFonts w:ascii="Arial" w:hAnsi="Arial"/>
          <w:b/>
          <w:i w:val="0"/>
          <w:color w:val="20394D"/>
          <w:sz w:val="17"/>
        </w:rPr>
        <w:t xml:space="preserve">Agency operations and freight: </w:t>
      </w:r>
      <w:r>
        <w:rPr>
          <w:rFonts w:ascii="Arial" w:hAnsi="Arial"/>
          <w:b w:val="0"/>
          <w:i w:val="0"/>
          <w:color w:val="2E3338"/>
          <w:sz w:val="17"/>
        </w:rPr>
        <w:t>Completed production, warehouse, service and administrative assignments; coordinated carriers/forwarders, collection and delivery timing, labels, quantities and export/shipping documents before release.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77"/>
        <w:gridCol w:w="2381"/>
      </w:tblGrid>
      <w:tr>
        <w:tc>
          <w:tcPr>
            <w:tcW w:type="dxa" w:w="8277"/>
            <w:tcMar>
              <w:top w:w="10" w:type="dxa"/>
              <w:start w:w="0" w:type="dxa"/>
              <w:bottom w:w="0" w:type="dxa"/>
              <w:end w:w="0" w:type="dxa"/>
            </w:tcMar>
            <w:tcBorders>
              <w:bottom w:val="single" w:sz="3" w:color="D8E0E3"/>
            </w:tcBorders>
          </w:tcPr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/>
                <w:i w:val="0"/>
                <w:color w:val="20394D"/>
                <w:sz w:val="17"/>
              </w:rPr>
              <w:t>Operations / Supply Chain Coordinator | Heinz Wattie's / Kraft Heinz, Christchurch, NZ</w:t>
            </w:r>
          </w:p>
        </w:tc>
        <w:tc>
          <w:tcPr>
            <w:tcW w:type="dxa" w:w="2381"/>
            <w:tcMar>
              <w:top w:w="10" w:type="dxa"/>
              <w:start w:w="0" w:type="dxa"/>
              <w:bottom w:w="0" w:type="dxa"/>
              <w:end w:w="0" w:type="dxa"/>
            </w:tcMar>
            <w:tcBorders>
              <w:bottom w:val="single" w:sz="3" w:color="D8E0E3"/>
            </w:tcBorders>
          </w:tcPr>
          <w:p>
            <w:pPr>
              <w:keepNext w:val="0"/>
              <w:spacing w:before="0" w:after="10" w:line="251" w:lineRule="auto"/>
              <w:jc w:val="right"/>
            </w:pPr>
            <w:r>
              <w:rPr>
                <w:rFonts w:ascii="Arial" w:hAnsi="Arial"/>
                <w:b/>
                <w:i w:val="0"/>
                <w:color w:val="5A6268"/>
                <w:sz w:val="16"/>
              </w:rPr>
              <w:t>Feb 2017 - Mar 2018</w:t>
            </w:r>
          </w:p>
        </w:tc>
      </w:tr>
    </w:tbl>
    <w:p>
      <w:pPr>
        <w:keepNext w:val="0"/>
        <w:spacing w:before="0" w:after="23" w:line="256" w:lineRule="auto"/>
        <w:ind w:left="147" w:hanging="119"/>
      </w:pPr>
      <w:r>
        <w:rPr>
          <w:rFonts w:ascii="Arial" w:hAnsi="Arial"/>
          <w:b/>
          <w:i w:val="0"/>
          <w:color w:val="0A98A8"/>
          <w:sz w:val="17"/>
        </w:rPr>
        <w:t xml:space="preserve">• </w:t>
      </w:r>
      <w:r>
        <w:rPr>
          <w:rFonts w:ascii="Arial" w:hAnsi="Arial"/>
          <w:b/>
          <w:i w:val="0"/>
          <w:color w:val="20394D"/>
          <w:sz w:val="17"/>
        </w:rPr>
        <w:t xml:space="preserve">SAP, planning and material flow: </w:t>
      </w:r>
      <w:r>
        <w:rPr>
          <w:rFonts w:ascii="Arial" w:hAnsi="Arial"/>
          <w:b w:val="0"/>
          <w:i w:val="0"/>
          <w:color w:val="2E3338"/>
          <w:sz w:val="17"/>
        </w:rPr>
        <w:t>Used SAP transactions and Excel operationally across five production lines and 40+ variants, reconciling orders, consumption, inventory, material availability and production priorities; used forecast accuracy, bias and service/planning signals for prioritisation and replanning.</w:t>
      </w:r>
    </w:p>
    <w:p>
      <w:pPr>
        <w:keepNext w:val="0"/>
        <w:spacing w:before="0" w:after="23" w:line="256" w:lineRule="auto"/>
        <w:ind w:left="147" w:hanging="119"/>
      </w:pPr>
      <w:r>
        <w:rPr>
          <w:rFonts w:ascii="Arial" w:hAnsi="Arial"/>
          <w:b/>
          <w:i w:val="0"/>
          <w:color w:val="0A98A8"/>
          <w:sz w:val="17"/>
        </w:rPr>
        <w:t xml:space="preserve">• </w:t>
      </w:r>
      <w:r>
        <w:rPr>
          <w:rFonts w:ascii="Arial" w:hAnsi="Arial"/>
          <w:b/>
          <w:i w:val="0"/>
          <w:color w:val="20394D"/>
          <w:sz w:val="17"/>
        </w:rPr>
        <w:t xml:space="preserve">Food safety and controlled operations: </w:t>
      </w:r>
      <w:r>
        <w:rPr>
          <w:rFonts w:ascii="Arial" w:hAnsi="Arial"/>
          <w:b w:val="0"/>
          <w:i w:val="0"/>
          <w:color w:val="2E3338"/>
          <w:sz w:val="17"/>
        </w:rPr>
        <w:t>Worked within formal food-safety controls and HACCP/GMP-related routines, where material status, traceability, process discipline and accurate records were essential to stable production.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77"/>
        <w:gridCol w:w="2381"/>
      </w:tblGrid>
      <w:tr>
        <w:tc>
          <w:tcPr>
            <w:tcW w:type="dxa" w:w="8277"/>
            <w:tcMar>
              <w:top w:w="10" w:type="dxa"/>
              <w:start w:w="0" w:type="dxa"/>
              <w:bottom w:w="0" w:type="dxa"/>
              <w:end w:w="0" w:type="dxa"/>
            </w:tcMar>
            <w:tcBorders>
              <w:bottom w:val="single" w:sz="3" w:color="D8E0E3"/>
            </w:tcBorders>
          </w:tcPr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/>
                <w:i w:val="0"/>
                <w:color w:val="20394D"/>
                <w:sz w:val="17"/>
              </w:rPr>
              <w:t>Purchasing &amp; Supply Chain Support | Fletcher Building, Auckland, NZ</w:t>
            </w:r>
          </w:p>
        </w:tc>
        <w:tc>
          <w:tcPr>
            <w:tcW w:type="dxa" w:w="2381"/>
            <w:tcMar>
              <w:top w:w="10" w:type="dxa"/>
              <w:start w:w="0" w:type="dxa"/>
              <w:bottom w:w="0" w:type="dxa"/>
              <w:end w:w="0" w:type="dxa"/>
            </w:tcMar>
            <w:tcBorders>
              <w:bottom w:val="single" w:sz="3" w:color="D8E0E3"/>
            </w:tcBorders>
          </w:tcPr>
          <w:p>
            <w:pPr>
              <w:keepNext w:val="0"/>
              <w:spacing w:before="0" w:after="10" w:line="251" w:lineRule="auto"/>
              <w:jc w:val="right"/>
            </w:pPr>
            <w:r>
              <w:rPr>
                <w:rFonts w:ascii="Arial" w:hAnsi="Arial"/>
                <w:b/>
                <w:i w:val="0"/>
                <w:color w:val="5A6268"/>
                <w:sz w:val="16"/>
              </w:rPr>
              <w:t>Feb 2016 - Nov 2016</w:t>
            </w:r>
          </w:p>
        </w:tc>
      </w:tr>
    </w:tbl>
    <w:p>
      <w:pPr>
        <w:keepNext w:val="0"/>
        <w:spacing w:before="0" w:after="23" w:line="256" w:lineRule="auto"/>
        <w:ind w:left="147" w:hanging="119"/>
      </w:pPr>
      <w:r>
        <w:rPr>
          <w:rFonts w:ascii="Arial" w:hAnsi="Arial"/>
          <w:b/>
          <w:i w:val="0"/>
          <w:color w:val="0A98A8"/>
          <w:sz w:val="17"/>
        </w:rPr>
        <w:t xml:space="preserve">• </w:t>
      </w:r>
      <w:r>
        <w:rPr>
          <w:rFonts w:ascii="Arial" w:hAnsi="Arial"/>
          <w:b/>
          <w:i w:val="0"/>
          <w:color w:val="20394D"/>
          <w:sz w:val="17"/>
        </w:rPr>
        <w:t xml:space="preserve">SAP purchasing and goods receipt: </w:t>
      </w:r>
      <w:r>
        <w:rPr>
          <w:rFonts w:ascii="Arial" w:hAnsi="Arial"/>
          <w:b w:val="0"/>
          <w:i w:val="0"/>
          <w:color w:val="2E3338"/>
          <w:sz w:val="17"/>
        </w:rPr>
        <w:t>Used SAP transactions to create/follow purchase orders and process goods receipt across approximately 15-20 suppliers, coordinating confirmations, pricing inputs, availability and delivery timing.</w:t>
      </w:r>
    </w:p>
    <w:p>
      <w:pPr>
        <w:keepNext w:val="0"/>
        <w:spacing w:before="0" w:after="23" w:line="256" w:lineRule="auto"/>
        <w:ind w:left="147" w:hanging="119"/>
      </w:pPr>
      <w:r>
        <w:rPr>
          <w:rFonts w:ascii="Arial" w:hAnsi="Arial"/>
          <w:b/>
          <w:i w:val="0"/>
          <w:color w:val="0A98A8"/>
          <w:sz w:val="17"/>
        </w:rPr>
        <w:t xml:space="preserve">• </w:t>
      </w:r>
      <w:r>
        <w:rPr>
          <w:rFonts w:ascii="Arial" w:hAnsi="Arial"/>
          <w:b/>
          <w:i w:val="0"/>
          <w:color w:val="20394D"/>
          <w:sz w:val="17"/>
        </w:rPr>
        <w:t xml:space="preserve">Commercial and inventory follow-up: </w:t>
      </w:r>
      <w:r>
        <w:rPr>
          <w:rFonts w:ascii="Arial" w:hAnsi="Arial"/>
          <w:b w:val="0"/>
          <w:i w:val="0"/>
          <w:color w:val="2E3338"/>
          <w:sz w:val="17"/>
        </w:rPr>
        <w:t>Kept quantity, price, tender and inventory-control discrepancies visible and followed corrections before they affected downstream operations.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77"/>
        <w:gridCol w:w="2381"/>
      </w:tblGrid>
      <w:tr>
        <w:tc>
          <w:tcPr>
            <w:tcW w:type="dxa" w:w="8277"/>
            <w:tcMar>
              <w:top w:w="10" w:type="dxa"/>
              <w:start w:w="0" w:type="dxa"/>
              <w:bottom w:w="0" w:type="dxa"/>
              <w:end w:w="0" w:type="dxa"/>
            </w:tcMar>
            <w:tcBorders>
              <w:bottom w:val="single" w:sz="3" w:color="D8E0E3"/>
            </w:tcBorders>
          </w:tcPr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/>
                <w:i w:val="0"/>
                <w:color w:val="20394D"/>
                <w:sz w:val="17"/>
              </w:rPr>
              <w:t>Operations Support Officer - French &amp; European Inbound | AOT Inbound / ATS Pacific, Melbourne, Australia</w:t>
            </w:r>
          </w:p>
        </w:tc>
        <w:tc>
          <w:tcPr>
            <w:tcW w:type="dxa" w:w="2381"/>
            <w:tcMar>
              <w:top w:w="10" w:type="dxa"/>
              <w:start w:w="0" w:type="dxa"/>
              <w:bottom w:w="0" w:type="dxa"/>
              <w:end w:w="0" w:type="dxa"/>
            </w:tcMar>
            <w:tcBorders>
              <w:bottom w:val="single" w:sz="3" w:color="D8E0E3"/>
            </w:tcBorders>
          </w:tcPr>
          <w:p>
            <w:pPr>
              <w:keepNext w:val="0"/>
              <w:spacing w:before="0" w:after="10" w:line="251" w:lineRule="auto"/>
              <w:jc w:val="right"/>
            </w:pPr>
            <w:r>
              <w:rPr>
                <w:rFonts w:ascii="Arial" w:hAnsi="Arial"/>
                <w:b/>
                <w:i w:val="0"/>
                <w:color w:val="5A6268"/>
                <w:sz w:val="16"/>
              </w:rPr>
              <w:t>Apr 2013 - Sep 2015</w:t>
            </w:r>
          </w:p>
        </w:tc>
      </w:tr>
    </w:tbl>
    <w:p>
      <w:pPr>
        <w:keepNext w:val="0"/>
        <w:spacing w:before="0" w:after="23" w:line="256" w:lineRule="auto"/>
        <w:ind w:left="147" w:hanging="119"/>
      </w:pPr>
      <w:r>
        <w:rPr>
          <w:rFonts w:ascii="Arial" w:hAnsi="Arial"/>
          <w:b/>
          <w:i w:val="0"/>
          <w:color w:val="0A98A8"/>
          <w:sz w:val="17"/>
        </w:rPr>
        <w:t xml:space="preserve">• </w:t>
      </w:r>
      <w:r>
        <w:rPr>
          <w:rFonts w:ascii="Arial" w:hAnsi="Arial"/>
          <w:b/>
          <w:i w:val="0"/>
          <w:color w:val="20394D"/>
          <w:sz w:val="17"/>
        </w:rPr>
        <w:t xml:space="preserve">International customer-file ownership: </w:t>
      </w:r>
      <w:r>
        <w:rPr>
          <w:rFonts w:ascii="Arial" w:hAnsi="Arial"/>
          <w:b w:val="0"/>
          <w:i w:val="0"/>
          <w:color w:val="2E3338"/>
          <w:sz w:val="17"/>
        </w:rPr>
        <w:t>Managed assigned French/European customer files from rates and quotation inputs through bookings, confirmations, itineraries/service details, live delivery, invoicing and payment follow-up, coordinating clients, suppliers, tour leaders and Contracting.</w:t>
      </w:r>
    </w:p>
    <w:p>
      <w:pPr>
        <w:keepNext w:val="0"/>
        <w:spacing w:before="0" w:after="23" w:line="256" w:lineRule="auto"/>
        <w:ind w:left="147" w:hanging="119"/>
      </w:pPr>
      <w:r>
        <w:rPr>
          <w:rFonts w:ascii="Arial" w:hAnsi="Arial"/>
          <w:b/>
          <w:i w:val="0"/>
          <w:color w:val="0A98A8"/>
          <w:sz w:val="17"/>
        </w:rPr>
        <w:t xml:space="preserve">• </w:t>
      </w:r>
      <w:r>
        <w:rPr>
          <w:rFonts w:ascii="Arial" w:hAnsi="Arial"/>
          <w:b/>
          <w:i w:val="0"/>
          <w:color w:val="20394D"/>
          <w:sz w:val="17"/>
        </w:rPr>
        <w:t xml:space="preserve">Systems, receivables and recovery: </w:t>
      </w:r>
      <w:r>
        <w:rPr>
          <w:rFonts w:ascii="Arial" w:hAnsi="Arial"/>
          <w:b w:val="0"/>
          <w:i w:val="0"/>
          <w:color w:val="2E3338"/>
          <w:sz w:val="17"/>
        </w:rPr>
        <w:t>Used NAV/Navision, Amadeus and Tourplan to maintain accurate commercial records, monitor receivables ageing, make collection calls and resolve urgent changes, complaints and disputes in English and French.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77"/>
        <w:gridCol w:w="2381"/>
      </w:tblGrid>
      <w:tr>
        <w:tc>
          <w:tcPr>
            <w:tcW w:type="dxa" w:w="8277"/>
            <w:tcMar>
              <w:top w:w="10" w:type="dxa"/>
              <w:start w:w="0" w:type="dxa"/>
              <w:bottom w:w="0" w:type="dxa"/>
              <w:end w:w="0" w:type="dxa"/>
            </w:tcMar>
            <w:tcBorders>
              <w:bottom w:val="single" w:sz="3" w:color="D8E0E3"/>
            </w:tcBorders>
          </w:tcPr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/>
                <w:i w:val="0"/>
                <w:color w:val="20394D"/>
                <w:sz w:val="17"/>
              </w:rPr>
              <w:t>Production &amp; Quality Technician | ArcelorMittal, Mouzon, France</w:t>
            </w:r>
          </w:p>
        </w:tc>
        <w:tc>
          <w:tcPr>
            <w:tcW w:type="dxa" w:w="2381"/>
            <w:tcMar>
              <w:top w:w="10" w:type="dxa"/>
              <w:start w:w="0" w:type="dxa"/>
              <w:bottom w:w="0" w:type="dxa"/>
              <w:end w:w="0" w:type="dxa"/>
            </w:tcMar>
            <w:tcBorders>
              <w:bottom w:val="single" w:sz="3" w:color="D8E0E3"/>
            </w:tcBorders>
          </w:tcPr>
          <w:p>
            <w:pPr>
              <w:keepNext w:val="0"/>
              <w:spacing w:before="0" w:after="10" w:line="251" w:lineRule="auto"/>
              <w:jc w:val="right"/>
            </w:pPr>
            <w:r>
              <w:rPr>
                <w:rFonts w:ascii="Arial" w:hAnsi="Arial"/>
                <w:b/>
                <w:i w:val="0"/>
                <w:color w:val="5A6268"/>
                <w:sz w:val="16"/>
              </w:rPr>
              <w:t>Sep 2007 - Mar 2012</w:t>
            </w:r>
          </w:p>
        </w:tc>
      </w:tr>
    </w:tbl>
    <w:p>
      <w:pPr>
        <w:keepNext w:val="0"/>
        <w:spacing w:before="0" w:after="23" w:line="256" w:lineRule="auto"/>
        <w:ind w:left="147" w:hanging="119"/>
      </w:pPr>
      <w:r>
        <w:rPr>
          <w:rFonts w:ascii="Arial" w:hAnsi="Arial"/>
          <w:b/>
          <w:i w:val="0"/>
          <w:color w:val="0A98A8"/>
          <w:sz w:val="17"/>
        </w:rPr>
        <w:t xml:space="preserve">• </w:t>
      </w:r>
      <w:r>
        <w:rPr>
          <w:rFonts w:ascii="Arial" w:hAnsi="Arial"/>
          <w:b/>
          <w:i w:val="0"/>
          <w:color w:val="20394D"/>
          <w:sz w:val="17"/>
        </w:rPr>
        <w:t xml:space="preserve">Quality, audits and root-cause work: </w:t>
      </w:r>
      <w:r>
        <w:rPr>
          <w:rFonts w:ascii="Arial" w:hAnsi="Arial"/>
          <w:b w:val="0"/>
          <w:i w:val="0"/>
          <w:color w:val="2E3338"/>
          <w:sz w:val="17"/>
        </w:rPr>
        <w:t>Worked with ISO 9001 routines, internal/process audits, daily quality meetings, inspection records, non-conformities and corrective actions; used 5 Why and Ishikawa/Fishbone methods to support root-cause analysis.</w:t>
      </w:r>
    </w:p>
    <w:p>
      <w:pPr>
        <w:keepNext w:val="0"/>
        <w:spacing w:before="0" w:after="23" w:line="256" w:lineRule="auto"/>
        <w:ind w:left="147" w:hanging="119"/>
      </w:pPr>
      <w:r>
        <w:rPr>
          <w:rFonts w:ascii="Arial" w:hAnsi="Arial"/>
          <w:b/>
          <w:i w:val="0"/>
          <w:color w:val="0A98A8"/>
          <w:sz w:val="17"/>
        </w:rPr>
        <w:t xml:space="preserve">• </w:t>
      </w:r>
      <w:r>
        <w:rPr>
          <w:rFonts w:ascii="Arial" w:hAnsi="Arial"/>
          <w:b/>
          <w:i w:val="0"/>
          <w:color w:val="20394D"/>
          <w:sz w:val="17"/>
        </w:rPr>
        <w:t xml:space="preserve">Process and waste improvement: </w:t>
      </w:r>
      <w:r>
        <w:rPr>
          <w:rFonts w:ascii="Arial" w:hAnsi="Arial"/>
          <w:b w:val="0"/>
          <w:i w:val="0"/>
          <w:color w:val="2E3338"/>
          <w:sz w:val="17"/>
        </w:rPr>
        <w:t>Analysed scrap and rework, supported process control and standardisation, and applied Lean/5S, Kaizen and Six Sigma principles in an industrial manufacturing environment.</w:t>
      </w:r>
    </w:p>
    <w:p>
      <w:pPr>
        <w:keepNext/>
        <w:spacing w:before="24" w:after="48" w:line="240" w:lineRule="auto"/>
        <w:pBdr>
          <w:bottom w:val="single" w:sz="12" w:space="1" w:color="0A98A8"/>
        </w:pBdr>
      </w:pPr>
      <w:r>
        <w:rPr>
          <w:rFonts w:ascii="Arial" w:hAnsi="Arial"/>
          <w:b/>
          <w:i w:val="0"/>
          <w:color w:val="20394D"/>
          <w:sz w:val="27"/>
        </w:rPr>
        <w:t>Selected digital &amp; workflow implementation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77"/>
        <w:gridCol w:w="2381"/>
      </w:tblGrid>
      <w:tr>
        <w:tc>
          <w:tcPr>
            <w:tcW w:type="dxa" w:w="8277"/>
            <w:tcMar>
              <w:top w:w="10" w:type="dxa"/>
              <w:start w:w="0" w:type="dxa"/>
              <w:bottom w:w="0" w:type="dxa"/>
              <w:end w:w="0" w:type="dxa"/>
            </w:tcMar>
            <w:tcBorders>
              <w:bottom w:val="single" w:sz="3" w:color="D8E0E3"/>
            </w:tcBorders>
          </w:tcPr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/>
                <w:i w:val="0"/>
                <w:color w:val="20394D"/>
                <w:sz w:val="17"/>
              </w:rPr>
              <w:t>Independent Digital &amp; Workflow Implementation Projects | Part-time, Denmark</w:t>
            </w:r>
          </w:p>
        </w:tc>
        <w:tc>
          <w:tcPr>
            <w:tcW w:type="dxa" w:w="2381"/>
            <w:tcMar>
              <w:top w:w="10" w:type="dxa"/>
              <w:start w:w="0" w:type="dxa"/>
              <w:bottom w:w="0" w:type="dxa"/>
              <w:end w:w="0" w:type="dxa"/>
            </w:tcMar>
            <w:tcBorders>
              <w:bottom w:val="single" w:sz="3" w:color="D8E0E3"/>
            </w:tcBorders>
          </w:tcPr>
          <w:p>
            <w:pPr>
              <w:keepNext w:val="0"/>
              <w:spacing w:before="0" w:after="10" w:line="251" w:lineRule="auto"/>
              <w:jc w:val="right"/>
            </w:pPr>
            <w:r>
              <w:rPr>
                <w:rFonts w:ascii="Arial" w:hAnsi="Arial"/>
                <w:b/>
                <w:i w:val="0"/>
                <w:color w:val="5A6268"/>
                <w:sz w:val="16"/>
              </w:rPr>
              <w:t>Oct 2024 - Jul 2025</w:t>
            </w:r>
          </w:p>
        </w:tc>
      </w:tr>
    </w:tbl>
    <w:p>
      <w:pPr>
        <w:keepNext w:val="0"/>
        <w:spacing w:before="0" w:after="23" w:line="256" w:lineRule="auto"/>
        <w:ind w:left="147" w:hanging="119"/>
      </w:pPr>
      <w:r>
        <w:rPr>
          <w:rFonts w:ascii="Arial" w:hAnsi="Arial"/>
          <w:b/>
          <w:i w:val="0"/>
          <w:color w:val="0A98A8"/>
          <w:sz w:val="17"/>
        </w:rPr>
        <w:t xml:space="preserve">• </w:t>
      </w:r>
      <w:r>
        <w:rPr>
          <w:rFonts w:ascii="Arial" w:hAnsi="Arial"/>
          <w:b/>
          <w:i w:val="0"/>
          <w:color w:val="20394D"/>
          <w:sz w:val="17"/>
        </w:rPr>
        <w:t xml:space="preserve">Requirements to handover: </w:t>
      </w:r>
      <w:r>
        <w:rPr>
          <w:rFonts w:ascii="Arial" w:hAnsi="Arial"/>
          <w:b w:val="0"/>
          <w:i w:val="0"/>
          <w:color w:val="2E3338"/>
          <w:sz w:val="17"/>
        </w:rPr>
        <w:t>Clarified requirements, structured source data and content, tracked issues and review cycles, tested releases and prepared owner handover so implemented changes were practical and maintainable.</w:t>
      </w:r>
    </w:p>
    <w:p>
      <w:pPr>
        <w:keepNext w:val="0"/>
        <w:spacing w:before="0" w:after="23" w:line="256" w:lineRule="auto"/>
        <w:ind w:left="147" w:hanging="119"/>
      </w:pPr>
      <w:r>
        <w:rPr>
          <w:rFonts w:ascii="Arial" w:hAnsi="Arial"/>
          <w:b/>
          <w:i w:val="0"/>
          <w:color w:val="0A98A8"/>
          <w:sz w:val="17"/>
        </w:rPr>
        <w:t xml:space="preserve">• </w:t>
      </w:r>
      <w:r>
        <w:rPr>
          <w:rFonts w:ascii="Arial" w:hAnsi="Arial"/>
          <w:b/>
          <w:i w:val="0"/>
          <w:color w:val="20394D"/>
          <w:sz w:val="17"/>
        </w:rPr>
        <w:t xml:space="preserve">Tools and implementation: </w:t>
      </w:r>
      <w:r>
        <w:rPr>
          <w:rFonts w:ascii="Arial" w:hAnsi="Arial"/>
          <w:b w:val="0"/>
          <w:i w:val="0"/>
          <w:color w:val="2E3338"/>
          <w:sz w:val="17"/>
        </w:rPr>
        <w:t>Used Jira, GitHub and Cloudflare with HTML/CSS and basic JavaScript for controlled delivery and QA; treated digital tools and AI as support for research, structuring and validation rather than a substitute for human ownership.</w:t>
      </w:r>
    </w:p>
    <w:p>
      <w:pPr>
        <w:keepNext/>
        <w:spacing w:before="24" w:after="48" w:line="240" w:lineRule="auto"/>
        <w:pBdr>
          <w:bottom w:val="single" w:sz="12" w:space="1" w:color="0A98A8"/>
        </w:pBdr>
      </w:pPr>
      <w:r>
        <w:rPr>
          <w:rFonts w:ascii="Arial" w:hAnsi="Arial"/>
          <w:b/>
          <w:i w:val="0"/>
          <w:color w:val="20394D"/>
          <w:sz w:val="27"/>
        </w:rPr>
        <w:t>Selected commercial, data &amp; planning impact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shd w:fill="EEF5F6"/>
            <w:tcBorders>
              <w:top w:val="single" w:sz="3" w:color="C7D4D8"/>
              <w:left w:val="single" w:sz="3" w:color="C7D4D8"/>
              <w:bottom w:val="single" w:sz="3" w:color="C7D4D8"/>
              <w:right w:val="single" w:sz="3" w:color="C7D4D8"/>
            </w:tcBorders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/>
                <w:i w:val="0"/>
                <w:color w:val="20394D"/>
                <w:sz w:val="15"/>
              </w:rPr>
              <w:t>COMMERCIAL ANALYTICS &amp; OPERATIONS</w:t>
            </w:r>
          </w:p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 w:val="0"/>
                <w:i w:val="0"/>
                <w:color w:val="2E3338"/>
                <w:sz w:val="15"/>
              </w:rPr>
              <w:t>Across Fletcher Building and Kraft Heinz, worked with primary/secondary sales reporting, product/category and geographic analysis, promotion/campaign gaps, CRM/process development and sales-process automation. Earlier AOT/ATS experience adds pricing, quotation support and full order-to-cash ownership.</w:t>
            </w:r>
          </w:p>
        </w:tc>
        <w:tc>
          <w:tcPr>
            <w:tcW w:type="dxa" w:w="5329"/>
            <w:shd w:fill="F7F7F5"/>
            <w:tcBorders>
              <w:top w:val="single" w:sz="3" w:color="C7D4D8"/>
              <w:left w:val="single" w:sz="3" w:color="C7D4D8"/>
              <w:bottom w:val="single" w:sz="3" w:color="C7D4D8"/>
              <w:right w:val="single" w:sz="3" w:color="C7D4D8"/>
            </w:tcBorders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/>
                <w:i w:val="0"/>
                <w:color w:val="20394D"/>
                <w:sz w:val="15"/>
              </w:rPr>
              <w:t>PLANNING, ERP &amp; LIFECYCLE CONTROL</w:t>
            </w:r>
          </w:p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 w:val="0"/>
                <w:i w:val="0"/>
                <w:color w:val="2E3338"/>
                <w:sz w:val="15"/>
              </w:rPr>
              <w:t>Applied MRP, forecast accuracy/bias, stock and shortage visibility, supplier lead-time/capacity recovery, master-data validation, phase-in/phase-out and controlled engineering changes to protect material availability and operational continuity.</w:t>
            </w:r>
          </w:p>
        </w:tc>
      </w:tr>
    </w:tbl>
    <w:p>
      <w:pPr>
        <w:keepNext/>
        <w:spacing w:before="24" w:after="48" w:line="240" w:lineRule="auto"/>
        <w:pBdr>
          <w:bottom w:val="single" w:sz="12" w:space="1" w:color="0A98A8"/>
        </w:pBdr>
      </w:pPr>
      <w:r>
        <w:rPr>
          <w:rFonts w:ascii="Arial" w:hAnsi="Arial"/>
          <w:b/>
          <w:i w:val="0"/>
          <w:color w:val="20394D"/>
          <w:sz w:val="27"/>
        </w:rPr>
        <w:t>Tools, education and development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tcMar>
              <w:top w:w="35" w:type="dxa"/>
              <w:start w:w="70" w:type="dxa"/>
              <w:bottom w:w="35" w:type="dxa"/>
              <w:end w:w="70" w:type="dxa"/>
            </w:tcMar>
            <w:tcBorders>
              <w:bottom w:val="single" w:sz="2" w:color="E2E6E8"/>
            </w:tcBorders>
          </w:tcPr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/>
                <w:i w:val="0"/>
                <w:color w:val="20394D"/>
                <w:sz w:val="16"/>
              </w:rPr>
              <w:t xml:space="preserve">ERP &amp; systems: </w:t>
            </w:r>
            <w:r>
              <w:rPr>
                <w:rFonts w:ascii="Arial" w:hAnsi="Arial"/>
                <w:b w:val="0"/>
                <w:i w:val="0"/>
                <w:color w:val="2E3338"/>
                <w:sz w:val="16"/>
              </w:rPr>
              <w:t>Dynamics AX/D365 (recent daily use); SAP operational in New Zealand at transaction level, including purchasing and materials transactions; NAV/Navision daily at AOT/ATS; WMS; Jira; Salesforce exposure.</w:t>
            </w:r>
          </w:p>
        </w:tc>
        <w:tc>
          <w:tcPr>
            <w:tcW w:type="dxa" w:w="5329"/>
            <w:tcMar>
              <w:top w:w="35" w:type="dxa"/>
              <w:start w:w="70" w:type="dxa"/>
              <w:bottom w:w="35" w:type="dxa"/>
              <w:end w:w="70" w:type="dxa"/>
            </w:tcMar>
            <w:tcBorders>
              <w:bottom w:val="single" w:sz="2" w:color="E2E6E8"/>
            </w:tcBorders>
          </w:tcPr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/>
                <w:i w:val="0"/>
                <w:color w:val="20394D"/>
                <w:sz w:val="16"/>
              </w:rPr>
              <w:t xml:space="preserve">Data &amp; technical: </w:t>
            </w:r>
            <w:r>
              <w:rPr>
                <w:rFonts w:ascii="Arial" w:hAnsi="Arial"/>
                <w:b w:val="0"/>
                <w:i w:val="0"/>
                <w:color w:val="2E3338"/>
                <w:sz w:val="16"/>
              </w:rPr>
              <w:t>Advanced Excel; Power Query; PivotTables; Power BI/DAX (reporting level); SQL fundamentals; Python (basic, self-taught); HTML/CSS; basic JavaScript; SOLIDWORKS; Autodesk Fusion.</w:t>
            </w:r>
          </w:p>
        </w:tc>
      </w:tr>
      <w:tr>
        <w:tc>
          <w:tcPr>
            <w:tcW w:type="dxa" w:w="5329"/>
            <w:tcMar>
              <w:top w:w="35" w:type="dxa"/>
              <w:start w:w="70" w:type="dxa"/>
              <w:bottom w:w="35" w:type="dxa"/>
              <w:end w:w="70" w:type="dxa"/>
            </w:tcMar>
            <w:tcBorders>
              <w:bottom w:val="single" w:sz="2" w:color="E2E6E8"/>
            </w:tcBorders>
          </w:tcPr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/>
                <w:i w:val="0"/>
                <w:color w:val="20394D"/>
                <w:sz w:val="16"/>
              </w:rPr>
              <w:t xml:space="preserve">Business analysis, process &amp; workflow: </w:t>
            </w:r>
            <w:r>
              <w:rPr>
                <w:rFonts w:ascii="Arial" w:hAnsi="Arial"/>
                <w:b w:val="0"/>
                <w:i w:val="0"/>
                <w:color w:val="2E3338"/>
                <w:sz w:val="16"/>
              </w:rPr>
              <w:t>Requirements clarification; stakeholder coordination; process mapping/notes; issue/action tracking; testing; validation; handover; standard work; workflow improvement and repeatable controls.</w:t>
            </w:r>
          </w:p>
        </w:tc>
        <w:tc>
          <w:tcPr>
            <w:tcW w:type="dxa" w:w="5329"/>
            <w:tcMar>
              <w:top w:w="35" w:type="dxa"/>
              <w:start w:w="70" w:type="dxa"/>
              <w:bottom w:w="35" w:type="dxa"/>
              <w:end w:w="70" w:type="dxa"/>
            </w:tcMar>
            <w:tcBorders>
              <w:bottom w:val="single" w:sz="2" w:color="E2E6E8"/>
            </w:tcBorders>
          </w:tcPr>
          <w:p>
            <w:pPr>
              <w:keepNext w:val="0"/>
              <w:spacing w:before="0" w:after="10" w:line="251" w:lineRule="auto"/>
            </w:pPr>
            <w:r>
              <w:rPr>
                <w:rFonts w:ascii="Arial" w:hAnsi="Arial"/>
                <w:b/>
                <w:i w:val="0"/>
                <w:color w:val="20394D"/>
                <w:sz w:val="16"/>
              </w:rPr>
              <w:t xml:space="preserve">Quality &amp; controlled operations: </w:t>
            </w:r>
            <w:r>
              <w:rPr>
                <w:rFonts w:ascii="Arial" w:hAnsi="Arial"/>
                <w:b w:val="0"/>
                <w:i w:val="0"/>
                <w:color w:val="2E3338"/>
                <w:sz w:val="16"/>
              </w:rPr>
              <w:t>ISO 9001; internal/process audits; scrap/rework analysis; FAI; NCR/SCAR; traceability; certificates; revision control; rework/returns; export-control workflow support.</w:t>
            </w:r>
          </w:p>
        </w:tc>
      </w:tr>
    </w:tbl>
    <w:p>
      <w:pPr>
        <w:keepNext/>
        <w:spacing w:before="6" w:after="46" w:line="260" w:lineRule="auto"/>
      </w:pPr>
      <w:r>
        <w:rPr>
          <w:b/>
          <w:sz w:val="16"/>
        </w:rPr>
        <w:t xml:space="preserve">Earlier technical foundation: </w:t>
      </w:r>
      <w:r>
        <w:rPr>
          <w:sz w:val="16"/>
        </w:rPr>
        <w:t>PLC programming; automated production systems; basic automation diagnostics and sensor/actuator replacement; electrical safety (historical BS/BE authorisations); electrotechnical &amp; industrial systems; networking/database fundamentals; FAT/SAT principles.</w:t>
      </w:r>
    </w:p>
    <w:p>
      <w:pPr>
        <w:keepNext w:val="0"/>
        <w:spacing w:before="12" w:after="46" w:line="260" w:lineRule="auto"/>
      </w:pPr>
      <w:r>
        <w:rPr>
          <w:b/>
          <w:sz w:val="16"/>
        </w:rPr>
        <w:t xml:space="preserve">Education: </w:t>
      </w:r>
      <w:r>
        <w:rPr>
          <w:sz w:val="16"/>
        </w:rPr>
        <w:t>IT &amp; Business Systems Diploma - Box Hill Institute, Melbourne (2013-2015) | Bac Pro PSPA - Pilotage de Systèmes de Production Automatisée - CFAI Ardennes, France (2007-2009) | Baccalauréat STI - Génie Électrotechnique - Lycée Pierre Bayle, France (2004-2007)</w:t>
      </w:r>
    </w:p>
    <w:p>
      <w:pPr>
        <w:keepNext w:val="0"/>
        <w:spacing w:before="4" w:after="46" w:line="260" w:lineRule="auto"/>
      </w:pPr>
      <w:r>
        <w:rPr>
          <w:rFonts w:ascii="Arial" w:hAnsi="Arial"/>
          <w:b/>
          <w:i w:val="0"/>
          <w:color w:val="20394D"/>
          <w:sz w:val="16"/>
        </w:rPr>
        <w:t xml:space="preserve">Selected courses: </w:t>
      </w:r>
      <w:r>
        <w:rPr>
          <w:rFonts w:ascii="Arial" w:hAnsi="Arial"/>
          <w:b w:val="0"/>
          <w:i w:val="0"/>
          <w:color w:val="2E3338"/>
          <w:sz w:val="16"/>
        </w:rPr>
        <w:t>SAP Introduction incl. PP/MM &amp; S/4HANA Overview - Edutasia (Sep-Nov 2025) | Power BI &amp; DAX - Microsoft edX (Feb-Mar 2024) | SQL &amp; Database Fundamentals - Itucation (Aug-Sep 2023)</w:t>
      </w:r>
    </w:p>
    <w:p>
      <w:pPr>
        <w:keepNext w:val="0"/>
        <w:spacing w:before="4" w:after="46" w:line="260" w:lineRule="auto"/>
      </w:pPr>
      <w:r>
        <w:rPr>
          <w:rFonts w:ascii="Arial" w:hAnsi="Arial"/>
          <w:b/>
          <w:i w:val="0"/>
          <w:color w:val="20394D"/>
          <w:sz w:val="16"/>
        </w:rPr>
        <w:t xml:space="preserve">Professional development (Aug 2025-present): </w:t>
      </w:r>
      <w:r>
        <w:rPr>
          <w:rFonts w:ascii="Arial" w:hAnsi="Arial"/>
          <w:b w:val="0"/>
          <w:i w:val="0"/>
          <w:color w:val="2E3338"/>
          <w:sz w:val="16"/>
        </w:rPr>
        <w:t>Continued practical development in Excel/Power Query, Power BI/DAX, SQL, SAP S/4HANA concepts, ERP/process improvement and Danish.</w:t>
      </w:r>
    </w:p>
    <w:p>
      <w:pPr>
        <w:keepNext w:val="0"/>
        <w:spacing w:before="4" w:after="46" w:line="260" w:lineRule="auto"/>
      </w:pPr>
      <w:r>
        <w:rPr>
          <w:rFonts w:ascii="Arial" w:hAnsi="Arial"/>
          <w:b/>
          <w:i w:val="0"/>
          <w:color w:val="20394D"/>
          <w:sz w:val="16"/>
        </w:rPr>
        <w:t xml:space="preserve">Languages: </w:t>
      </w:r>
      <w:r>
        <w:rPr>
          <w:rFonts w:ascii="Arial" w:hAnsi="Arial"/>
          <w:b w:val="0"/>
          <w:i w:val="0"/>
          <w:color w:val="2E3338"/>
          <w:sz w:val="16"/>
        </w:rPr>
        <w:t>French native | English fluent | Danish operational, PD2/B1+ | Persian beginner | French/EU citizen, authorised to work in Denmark and Sweden without sponsorship</w:t>
      </w:r>
    </w:p>
    <w:p>
      <w:pPr>
        <w:keepNext/>
        <w:spacing w:before="24" w:after="48" w:line="240" w:lineRule="auto"/>
        <w:pBdr>
          <w:bottom w:val="single" w:sz="12" w:space="1" w:color="0A98A8"/>
        </w:pBdr>
      </w:pPr>
      <w:r>
        <w:rPr>
          <w:rFonts w:ascii="Arial" w:hAnsi="Arial"/>
          <w:b/>
          <w:i w:val="0"/>
          <w:color w:val="20394D"/>
          <w:sz w:val="27"/>
        </w:rPr>
        <w:t>Selected professional portfolios</w:t>
      </w:r>
    </w:p>
    <w:p>
      <w:pPr>
        <w:keepNext w:val="0"/>
        <w:spacing w:before="4" w:after="46" w:line="260" w:lineRule="auto"/>
      </w:pPr>
      <w:hyperlink r:id="rId10">
        <w:r>
          <w:rPr>
            <w:color w:val="0A98A8"/>
            <w:u w:val="none"/>
            <w:b/>
            <w:sz w:val="17"/>
          </w:rPr>
          <w:t>Operations, ERP &amp; Workflow Portfolio</w:t>
        </w:r>
      </w:hyperlink>
      <w:r>
        <w:rPr>
          <w:rFonts w:ascii="Arial" w:hAnsi="Arial"/>
          <w:b w:val="0"/>
          <w:i w:val="0"/>
          <w:color w:val="5A6268"/>
          <w:sz w:val="16"/>
        </w:rPr>
        <w:t xml:space="preserve">   |   </w:t>
      </w:r>
      <w:hyperlink r:id="rId11">
        <w:r>
          <w:rPr>
            <w:color w:val="0A98A8"/>
            <w:u w:val="none"/>
            <w:b/>
            <w:sz w:val="17"/>
          </w:rPr>
          <w:t>Digital Solutions Portfolio</w:t>
        </w:r>
      </w:hyperlink>
    </w:p>
    <w:sectPr>
      <w:footerReference w:type="default" r:id="rId12"/>
      <w:pgSz w:w="11906" w:h="16838"/>
      <w:pgMar w:top="482" w:right="624" w:bottom="510" w:left="624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rial" w:hAnsi="Arial"/>
        <w:b w:val="0"/>
        <w:i w:val="0"/>
        <w:color w:val="7A8288"/>
        <w:sz w:val="12"/>
      </w:rPr>
      <w:t xml:space="preserve">Romaric Clementi | Professional CV | </w:t>
    </w:r>
    <w:r>
      <w:fldChar w:fldCharType="begin"/>
      <w:instrText xml:space="preserve">PAGE</w:instrText>
      <w:fldChar w:fldCharType="end"/>
    </w:r>
    <w:r>
      <w:rPr>
        <w:rFonts w:ascii="Arial" w:hAnsi="Arial"/>
        <w:b w:val="0"/>
        <w:i w:val="0"/>
        <w:color w:val="7A8288"/>
        <w:sz w:val="12"/>
      </w:rPr>
      <w:t xml:space="preserve"> of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color w:val="2E3338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lementiromaric@protonmail.com" TargetMode="External"/><Relationship Id="rId10" Type="http://schemas.openxmlformats.org/officeDocument/2006/relationships/hyperlink" Target="https://romaric-operations-portfolio.clementiromaric.workers.dev/" TargetMode="External"/><Relationship Id="rId11" Type="http://schemas.openxmlformats.org/officeDocument/2006/relationships/hyperlink" Target="https://romaric-digital-portfolio.clementiromaric.workers.dev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Romaric Clementi - Professional CV</dc:title>
  <dc:subject>Professional networking CV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