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A19C"/>
          <w:sz w:val="52"/>
          <w:szCs w:val="52"/>
        </w:rPr>
        <w:t xml:space="preserve">myHLD Portal</w:t>
      </w:r>
    </w:p>
    <w:p>
      <w:pPr>
        <w:spacing w:after="100"/>
        <w:jc w:val="center"/>
      </w:pPr>
      <w:r>
        <w:rPr>
          <w:rFonts w:ascii="Arial" w:cs="Arial" w:eastAsia="Arial" w:hAnsi="Arial"/>
          <w:color w:val="3D3935"/>
          <w:sz w:val="28"/>
          <w:szCs w:val="28"/>
        </w:rPr>
        <w:t xml:space="preserve">HLD Authoring, Governance &amp; AI Knowledge Support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AIDLC Session Summary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22 April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Region: ap-southeast-1 (Singapore)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AWS Account: 949228373256</w:t>
      </w:r>
    </w:p>
    <w:p>
      <w:r>
        <w:br w:type="page"/>
      </w:r>
    </w:p>
    <w:p>
      <w:pPr>
        <w:pStyle w:val="Heading1"/>
      </w:pPr>
      <w:r>
        <w:t xml:space="preserve">1. Session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document summarizes a compressed AIDLC (AI-assisted Development Lifecycle) session that took the myHLD portal from requirements through to a deployed, working MVP in a single session. The session followed the AIDLC framework: Inception (requirements gathering and scope decisions), Construction (code generation), and Deployment (AWS provisioning).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myHLD portal enables PETRONAS Solution Architects to author High-Level Design (HLD) documents through a guided wizard, with AI-powered architecture diagram generation, TOE (Technology Operating Environment) classification, automated risk flagging, and reviewer feedback workflows.</w:t>
      </w:r>
    </w:p>
    <w:p>
      <w:pPr>
        <w:pStyle w:val="Heading1"/>
      </w:pPr>
      <w:r>
        <w:t xml:space="preserve">2. Inception Phase</w:t>
      </w:r>
    </w:p>
    <w:p>
      <w:pPr>
        <w:pStyle w:val="Heading2"/>
      </w:pPr>
      <w:r>
        <w:t xml:space="preserve">2.1 Source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myHLD_TOE_SRS_v5.docx</w:t>
      </w:r>
      <w:r>
        <w:rPr>
          <w:rFonts w:ascii="Arial" w:cs="Arial" w:eastAsia="Arial" w:hAnsi="Arial"/>
          <w:sz w:val="22"/>
          <w:szCs w:val="22"/>
        </w:rPr>
        <w:t xml:space="preserve"> — System Requirements Specification with 39 functional requirements (FR-01 to FR-39) and non-functional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Field 1.docx</w:t>
      </w:r>
      <w:r>
        <w:rPr>
          <w:rFonts w:ascii="Arial" w:cs="Arial" w:eastAsia="Arial" w:hAnsi="Arial"/>
          <w:sz w:val="22"/>
          <w:szCs w:val="22"/>
        </w:rPr>
        <w:t xml:space="preserve"> — Reference checklist for cybersecurity controls (BIA, IAM, Endpoint, Application Security, Data Encryption, Network Security)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APQC PCF Cross-Industry v7.4</w:t>
      </w:r>
      <w:r>
        <w:rPr>
          <w:rFonts w:ascii="Arial" w:cs="Arial" w:eastAsia="Arial" w:hAnsi="Arial"/>
          <w:sz w:val="22"/>
          <w:szCs w:val="22"/>
        </w:rPr>
        <w:t xml:space="preserve"> — 13 top-level business capability categories and 72 Level 1 sub-processes for the Business Capability dropdown</w:t>
      </w:r>
    </w:p>
    <w:p>
      <w:pPr>
        <w:pStyle w:val="Heading2"/>
      </w:pPr>
      <w:r>
        <w:t xml:space="preserve">2.2 Key Scope Decisions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decisions were made during inception to scope the MVP: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1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1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Slice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Template-based input → AI generates Mermaid architecture diagram + TOE classification + risk flags + recommendations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 Format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Mermaid.js rendered client-side (option B from inception questions)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Method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form fields only (no diagram upload for MVP)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DynamoDB single table for HLD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HLD Category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Application HLD or Enhancement HLD dropdown with application selector and historical lineage display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Capability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Cascading APQC PCF dropdown (13 categories → 72 sub-processes)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Checklist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Security Field checklist (all categories from reference doc)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PETRONAS brand guidelines (emerald header, Museo Sans, pill buttons, 10px card radius)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Structure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wizard: Registration → Application &amp; Data → Cybersecurity → AI Results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Out of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Diagram upload / image interpretation (FR-13 to FR-15)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authentication / RBAC (deferred to follow-up)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Parent-child HLD versioning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Chatbot / FAQ (FR-34 to FR-39)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Application traceability / duplicate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trail, formal approval workflow, multi-region, CI/CD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Editable generated diagrams (view-only for MVP)</w:t>
      </w:r>
    </w:p>
    <w:p>
      <w:r>
        <w:br w:type="page"/>
      </w:r>
    </w:p>
    <w:p>
      <w:pPr>
        <w:pStyle w:val="Heading1"/>
      </w:pPr>
      <w:r>
        <w:t xml:space="preserve">3. Construction Phase</w:t>
      </w:r>
    </w:p>
    <w:p>
      <w:pPr>
        <w:pStyle w:val="Heading2"/>
      </w:pPr>
      <w:r>
        <w:t xml:space="preserve">3.1 Demo Flow (5 Steps)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 Page / Dashboard</w:t>
      </w:r>
      <w:r>
        <w:rPr>
          <w:rFonts w:ascii="Arial" w:cs="Arial" w:eastAsia="Arial" w:hAnsi="Arial"/>
          <w:sz w:val="22"/>
          <w:szCs w:val="22"/>
        </w:rPr>
        <w:t xml:space="preserve"> — View existing HLD requests with status cards (Submitted, In-Review, Approved) and a searchable table. Data persisted in DynamoDB.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New HLD (Step 1: Registration)</w:t>
      </w:r>
      <w:r>
        <w:rPr>
          <w:rFonts w:ascii="Arial" w:cs="Arial" w:eastAsia="Arial" w:hAnsi="Arial"/>
          <w:sz w:val="22"/>
          <w:szCs w:val="22"/>
        </w:rPr>
        <w:t xml:space="preserve"> — HLD Category (New/Enhancement), Application selector with historical lineage, Title, Description, HLD Type, Landscape, Division, APQC Business Capability.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 &amp; Data (Step 2)</w:t>
      </w:r>
      <w:r>
        <w:rPr>
          <w:rFonts w:ascii="Arial" w:cs="Arial" w:eastAsia="Arial" w:hAnsi="Arial"/>
          <w:sz w:val="22"/>
          <w:szCs w:val="22"/>
        </w:rPr>
        <w:t xml:space="preserve"> — Application components, system integrations, data classification, encryption (in-motion/at-rest), integration approach, retention, privacy, DLP.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Cybersecurity (Step 3)</w:t>
      </w:r>
      <w:r>
        <w:rPr>
          <w:rFonts w:ascii="Arial" w:cs="Arial" w:eastAsia="Arial" w:hAnsi="Arial"/>
          <w:sz w:val="22"/>
          <w:szCs w:val="22"/>
        </w:rPr>
        <w:t xml:space="preserve"> — Full Security Field checklist: BIA ratings, HA/DR, Connectivity, IAM (9 sub-sections), Endpoint Security, Application Security, Security Testing, Network Security.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Results (Step 4)</w:t>
      </w:r>
      <w:r>
        <w:rPr>
          <w:rFonts w:ascii="Arial" w:cs="Arial" w:eastAsia="Arial" w:hAnsi="Arial"/>
          <w:sz w:val="22"/>
          <w:szCs w:val="22"/>
        </w:rPr>
        <w:t xml:space="preserve"> — AI-generated Mermaid architecture diagram, integration summary table, TOE classification table, risk flags with severity and confidence, AI recommendations, and reviewer feedback section.</w:t>
      </w:r>
    </w:p>
    <w:p>
      <w:pPr>
        <w:pStyle w:val="Heading2"/>
      </w:pPr>
      <w:r>
        <w:t xml:space="preserve">3.2 AI Output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1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1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Mermaid Diagram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Flowchart with application components, integration flows with protocol labels (HTTPS, RFC, JDBC, API), security boundary subgraphs, data stores with encryption annotations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Table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System → Target System with Protocol, Integration Type, and Direction (inbound/outbound/bidirectional)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TOE Classification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component classified as TOE Default, Available Not Preferred, Step-Out, or Unknown with explanatory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Flags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 (Critical/High/Medium/Low), confidence percentage, title, and explainable rationale linking to specific inputs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Actionable suggestions for each flagged risk with alternative solutions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Project File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1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1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frontend/index.html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wizard UI with PETRONAS branding, emerald header with SVG logo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frontend/style.css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PETRONAS brand CSS: colors, typography, pill buttons, card radius, status badges, risk flag cards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frontend/app.js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 logic, form collection, API Gateway fetch, Mermaid rendering, result tables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frontend/data.js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applications, HLD history, dashboard data, Security Field checklist options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frontend/apqc_capabilities.json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APQC categories + 72 Level 1 sub-processes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backend/lambda_function.py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handler: builds prompt, calls Bedrock Converse API, parses JSON, saves to DynamoDB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deploy/deploy.sh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CLI provisioning: DynamoDB, IAM, Lambda, Function URL, S3, CloudFront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deploy/config.sh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deployment variables (region, bucket, function name, model ID)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Deployment Phase</w:t>
      </w:r>
    </w:p>
    <w:p>
      <w:pPr>
        <w:pStyle w:val="Heading2"/>
      </w:pPr>
      <w:r>
        <w:t xml:space="preserve">4.1 Architecture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resources deployed in ap-southeast-1 (Singapore) under AWS account 949228373256.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1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1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E3Q04VWBORWUMU — d2abm5u1nsseqh.cloudfront.net (HTTPS, redirect-to-https, TLS 1.2)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Bucket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myhld-portal-frontend-949228373256 — Private, CloudFront OAC only (EH8F953AH40FA)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API 1baqekfcrh — POST /generate route with Lambda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myhld-portal-backend — Python 3.12, 256MB, 120s timeout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myhld-portal-hld-records — PAY_PER_REQUEST, PK: HLD#{requestId}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Bedrock Model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Nova Pro (apac.amazon.nova-pro-v1:0) via Converse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Role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myhld-portal-lambda-role — Bedrock InvokeModel + DynamoDB CRUD + CloudWatch Logs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Deployment Timeline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AWS credentials verified (SSO profile PTAWISB_IsbUsersPS-949228373256)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DynamoDB table created (PAY_PER_REQUEST)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IAM execution role created with Bedrock + DynamoDB permissions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Lambda function deployed (Python 3.12, 256MB, 120s timeout)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Lambda Function URL created, then replaced with API Gateway HTTP API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S3 bucket created, frontend uploaded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CloudFront distribution created with OAC, S3 bucket locked to private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End-to-end testing via Playwright MCP (Edge browser) — full wizard flow verified with live Bedrock response</w:t>
      </w:r>
    </w:p>
    <w:p>
      <w:pPr>
        <w:pStyle w:val="Heading2"/>
      </w:pPr>
      <w:r>
        <w:t xml:space="preserve">4.3 Model Selection Journey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model was changed multiple times during the session: started with Claude Haiku 4.5 (us-east-1), switched to global inference profile for Singapore, then to APAC Claude Sonnet 4 (marketplace subscription required — blocked), and finally settled on Amazon Nova Pro (apac.amazon.nova-pro-v1:0) which worked without marketplace friction.</w:t>
      </w:r>
    </w:p>
    <w:p>
      <w:pPr>
        <w:pStyle w:val="Heading1"/>
      </w:pPr>
      <w:r>
        <w:t xml:space="preserve">5. Test Results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End-to-end testing was performed using Playwright MCP with Microsoft Edge. The full wizard flow was automated: dashboard verification, form filling across all 3 steps, AI generation trigger, and result validation.</w:t>
      </w:r>
    </w:p>
    <w:p>
      <w:pPr>
        <w:pStyle w:val="Heading3"/>
      </w:pPr>
      <w:r>
        <w:t xml:space="preserve">Test Scenario: SAP S/4HANA Cloud Analytics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Dashboard: 8 HLD records displayed with correct status counts (2 Submitted, 2 In-Review, 4 Approved)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1: All dropdowns populated (HLD Category, Applications, APQC categories with cascading sub-processes)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2: Data management fields with checkbox groups rendered correctly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3: Full Security Field checklist rendered (BIA, Connectivity, IAM 9 sections, Endpoint, App Security, Testing, Network)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Step 4: AI returned Mermaid diagram (rendered as SVG), 4 integration flows, 7 TOE classifications (all TOE Default), 3 risk flags (High: TLS 1.2, Medium: HA/DR, Medium: Auth), and 3 recommendations</w:t>
      </w:r>
    </w:p>
    <w:p>
      <w:pPr>
        <w:pStyle w:val="Heading1"/>
      </w:pPr>
      <w:r>
        <w:t xml:space="preserve">6. Live URLs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1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1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https://d2abm5u1nsseqh.cloudfront.net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https://1baqekfcrh.execute-api.ap-southeast-1.amazonaws.com/generate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Weekly Cost Estimate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1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1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1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usage (~50 invocations/week)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On-demand, minimal reads/writes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Bedrock (Nova Pro)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calls/week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~$0.50–$2.00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+ CloudFront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hosting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API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1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1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1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~$1–$3/week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Follow-Up Items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Authentication: </w:t>
      </w:r>
      <w:r>
        <w:rPr>
          <w:rFonts w:ascii="Arial" w:cs="Arial" w:eastAsia="Arial" w:hAnsi="Arial"/>
          <w:sz w:val="22"/>
          <w:szCs w:val="22"/>
        </w:rPr>
        <w:t xml:space="preserve">Implement Cognito / Entra ID SSO for user access control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Diagram Upload: </w:t>
      </w:r>
      <w:r>
        <w:rPr>
          <w:rFonts w:ascii="Arial" w:cs="Arial" w:eastAsia="Arial" w:hAnsi="Arial"/>
          <w:sz w:val="22"/>
          <w:szCs w:val="22"/>
        </w:rPr>
        <w:t xml:space="preserve">Add multimodal AI interpretation of uploaded Visio/drawio/image diagrams (FR-13 to FR-15)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TOE Catalogue: </w:t>
      </w:r>
      <w:r>
        <w:rPr>
          <w:rFonts w:ascii="Arial" w:cs="Arial" w:eastAsia="Arial" w:hAnsi="Arial"/>
          <w:sz w:val="22"/>
          <w:szCs w:val="22"/>
        </w:rPr>
        <w:t xml:space="preserve">Integrate real PETRONAS TOE catalogue (currently using AI general knowledge)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Chatbot: </w:t>
      </w:r>
      <w:r>
        <w:rPr>
          <w:rFonts w:ascii="Arial" w:cs="Arial" w:eastAsia="Arial" w:hAnsi="Arial"/>
          <w:sz w:val="22"/>
          <w:szCs w:val="22"/>
        </w:rPr>
        <w:t xml:space="preserve">Implement FAQ and HLD search chatbot (FR-34 to FR-39)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Approval Workflow: </w:t>
      </w:r>
      <w:r>
        <w:rPr>
          <w:rFonts w:ascii="Arial" w:cs="Arial" w:eastAsia="Arial" w:hAnsi="Arial"/>
          <w:sz w:val="22"/>
          <w:szCs w:val="22"/>
        </w:rPr>
        <w:t xml:space="preserve">Formal state machine for Submitted → In-Review → Approved with role-based transitions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Upgrade: </w:t>
      </w:r>
      <w:r>
        <w:rPr>
          <w:rFonts w:ascii="Arial" w:cs="Arial" w:eastAsia="Arial" w:hAnsi="Arial"/>
          <w:sz w:val="22"/>
          <w:szCs w:val="22"/>
        </w:rPr>
        <w:t xml:space="preserve">Enable Anthropic marketplace subscription for Claude Sonnet 4 (stronger reasoning for architecture analysis)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Trail: </w:t>
      </w:r>
      <w:r>
        <w:rPr>
          <w:rFonts w:ascii="Arial" w:cs="Arial" w:eastAsia="Arial" w:hAnsi="Arial"/>
          <w:sz w:val="22"/>
          <w:szCs w:val="22"/>
        </w:rPr>
        <w:t xml:space="preserve">Implement full audit logging for TOE authoring, risk acknowledgement, and approval activities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Teardown Script: </w:t>
      </w:r>
      <w:r>
        <w:rPr>
          <w:rFonts w:ascii="Arial" w:cs="Arial" w:eastAsia="Arial" w:hAnsi="Arial"/>
          <w:sz w:val="22"/>
          <w:szCs w:val="22"/>
        </w:rPr>
        <w:t xml:space="preserve">Create deploy/teardown.sh to reverse all provisioned resources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19C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0A19C"/>
        <w:sz w:val="16"/>
        <w:szCs w:val="16"/>
      </w:rPr>
      <w:t xml:space="preserve">PETRONAS myHLD Portal</w:t>
    </w:r>
    <w:r>
      <w:rPr>
        <w:rFonts w:ascii="Arial" w:cs="Arial" w:eastAsia="Arial" w:hAnsi="Arial"/>
        <w:color w:val="999999"/>
        <w:sz w:val="16"/>
        <w:szCs w:val="16"/>
      </w:rPr>
      <w:t xml:space="preserve">	AIDLC Session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A19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D39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2026-04-22T09:19:21.995Z</dcterms:created>
  <dcterms:modified xsi:type="dcterms:W3CDTF">2026-04-22T09:19:21.996Z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