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r>
        <w:rPr>
          <w:b/>
          <w:bCs/>
          <w:color w:val="137566"/>
          <w:sz w:val="22"/>
          <w:szCs w:val="22"/>
        </w:rPr>
        <w:t xml:space="preserve">MASTER 2 — BIG DATA / DATA ENGINEERING</w:t>
      </w:r>
    </w:p>
    <w:p>
      <w:pPr>
        <w:spacing w:after="200" w:before="300"/>
      </w:pPr>
      <w:r>
        <w:rPr>
          <w:b/>
          <w:bCs/>
          <w:color w:val="0F2A43"/>
          <w:sz w:val="56"/>
          <w:szCs w:val="56"/>
        </w:rPr>
        <w:t xml:space="preserve">TP avancé PySpark</w:t>
      </w:r>
    </w:p>
    <w:p>
      <w:pPr>
        <w:spacing w:after="400"/>
      </w:pPr>
      <w:r>
        <w:rPr>
          <w:color w:val="1C2B39"/>
          <w:sz w:val="32"/>
          <w:szCs w:val="32"/>
        </w:rPr>
        <w:t xml:space="preserve">Partie 17 — Questions de réflexion</w:t>
      </w:r>
    </w:p>
    <w:p>
      <w:pPr>
        <w:spacing w:before="1200"/>
      </w:pPr>
      <w:r>
        <w:rPr>
          <w:b/>
          <w:bCs/>
          <w:color w:val="1C2B39"/>
          <w:sz w:val="24"/>
          <w:szCs w:val="24"/>
        </w:rPr>
        <w:t xml:space="preserve">Clément Ferry MAMA</w:t>
      </w:r>
    </w:p>
    <w:p>
      <w:r>
        <w:rPr>
          <w:color w:val="5B6B79"/>
          <w:sz w:val="22"/>
          <w:szCs w:val="22"/>
        </w:rPr>
        <w:t xml:space="preserve">Etudiant en Data Engineering</w:t>
      </w:r>
    </w:p>
    <w:p>
      <w:pPr>
        <w:spacing w:before="200"/>
      </w:pPr>
      <w:r>
        <w:rPr>
          <w:color w:val="5B6B79"/>
          <w:sz w:val="22"/>
          <w:szCs w:val="22"/>
        </w:rPr>
        <w:t xml:space="preserve">2025 / 2026</w:t>
      </w:r>
    </w:p>
    <w:p>
      <w:r>
        <w:br w:type="page"/>
      </w:r>
    </w:p>
    <w:p>
      <w:pPr>
        <w:pStyle w:val="Heading1"/>
        <w:spacing w:after="200"/>
      </w:pPr>
      <w:r>
        <w:rPr>
          <w:color w:val="0F2A43"/>
        </w:rPr>
        <w:t xml:space="preserve">Réponses aux 15 questions de réflexion</w:t>
      </w:r>
    </w:p>
    <w:p>
      <w:pPr>
        <w:spacing w:after="300"/>
      </w:pPr>
      <w:r>
        <w:rPr>
          <w:i/>
          <w:iCs/>
          <w:color w:val="5B6B79"/>
          <w:sz w:val="20"/>
          <w:szCs w:val="20"/>
        </w:rPr>
        <w:t xml:space="preserve">Chaque réponse s'appuie sur des observations concrètes réalisées au fil du traitement des données du TP multisource.</w:t>
      </w:r>
    </w:p>
    <w:p>
      <w:pPr>
        <w:pStyle w:val="Heading2"/>
        <w:spacing w:after="120" w:before="320"/>
      </w:pPr>
      <w:r>
        <w:rPr>
          <w:b/>
          <w:bCs/>
          <w:color w:val="137566"/>
        </w:rPr>
        <w:t xml:space="preserve">Question 1. </w:t>
      </w:r>
      <w:r>
        <w:rPr>
          <w:b/>
          <w:bCs/>
          <w:color w:val="1C2B39"/>
        </w:rPr>
        <w:t xml:space="preserve">Pourquoi faut-il normaliser les identifiants avant les jointures ?</w:t>
      </w:r>
    </w:p>
    <w:p>
      <w:pPr>
        <w:spacing w:after="160"/>
        <w:jc w:val="both"/>
      </w:pPr>
      <w:r>
        <w:rPr>
          <w:color w:val="1C2B39"/>
          <w:sz w:val="22"/>
          <w:szCs w:val="22"/>
        </w:rPr>
        <w:t xml:space="preserve">Les identifiants bruts du projet apparaissaient sous plusieurs formes pour une même entité : c001, C002, cust-17 pour les clients, ord-0001, ORD2, ORD-0005 pour les commandes. Sans normalisation préalable (Étapes 6 et 13), une jointure sur customer_id ou order_id brut ne rapprocherait jamais ces variantes entre elles, car Spark compare des chaînes de caractères strictement égales.</w:t>
      </w:r>
    </w:p>
    <w:p>
      <w:pPr>
        <w:spacing w:after="160"/>
        <w:jc w:val="both"/>
      </w:pPr>
      <w:r>
        <w:rPr>
          <w:color w:val="1C2B39"/>
          <w:sz w:val="22"/>
          <w:szCs w:val="22"/>
        </w:rPr>
        <w:t xml:space="preserve">Concrètement, sans la normalisation vers les formats C000001 et ORD000001, la jointure de la Partie 10 aurait produit un nombre d'orphelins très supérieur au seul cas réel (le client C999 introuvable) : chaque variante d'écriture non alignée entre deux tables serait devenue, à tort, une ligne sans correspondance. La normalisation transforme un problème de qualité de données en un problème de logique métier isolable et mesurable.</w:t>
      </w:r>
    </w:p>
    <w:p>
      <w:pPr>
        <w:pStyle w:val="Heading2"/>
        <w:spacing w:after="120" w:before="320"/>
      </w:pPr>
      <w:r>
        <w:rPr>
          <w:b/>
          <w:bCs/>
          <w:color w:val="137566"/>
        </w:rPr>
        <w:t xml:space="preserve">Question 2. </w:t>
      </w:r>
      <w:r>
        <w:rPr>
          <w:b/>
          <w:bCs/>
          <w:color w:val="1C2B39"/>
        </w:rPr>
        <w:t xml:space="preserve">Quelle différence existe-t-il entre dropDuplicates() et une déduplication avec Window ?</w:t>
      </w:r>
    </w:p>
    <w:p>
      <w:pPr>
        <w:spacing w:after="160"/>
        <w:jc w:val="both"/>
      </w:pPr>
      <w:r>
        <w:rPr>
          <w:color w:val="1C2B39"/>
          <w:sz w:val="22"/>
          <w:szCs w:val="22"/>
        </w:rPr>
        <w:t xml:space="preserve">dropDuplicates() supprime des doublons en ne conservant qu'une ligne par combinaison de colonnes données, mais sans contrôle explicite sur laquelle des lignes en doublon est conservée : le choix dépend de l'ordre interne d'exécution de Spark, non déterministe entre deux exécutions sur un cluster distribué.</w:t>
      </w:r>
    </w:p>
    <w:p>
      <w:pPr>
        <w:spacing w:after="160"/>
        <w:jc w:val="both"/>
      </w:pPr>
      <w:r>
        <w:rPr>
          <w:color w:val="1C2B39"/>
          <w:sz w:val="22"/>
          <w:szCs w:val="22"/>
        </w:rPr>
        <w:t xml:space="preserve">La déduplication par fenêtre, utilisée systématiquement dans ce projet (customers_clean, orders_clean, reviews_clean, delivery_events_clean), permet de définir un ordre de priorité explicite via Window.partitionBy(...).orderBy(...) puis row_number() == 1 : par exemple, garder l'avis le plus récent, puis le commentaire le plus long (Étape 21), ou l'événement de livraison selon la priorité DELIVERED &gt; RETURNED &gt; ... &gt; UNKNOWN (Étape 25). Cette méthode est reproductible et documentable, contrairement à dropDuplicates().</w:t>
      </w:r>
    </w:p>
    <w:p>
      <w:pPr>
        <w:pStyle w:val="Heading2"/>
        <w:spacing w:after="120" w:before="320"/>
      </w:pPr>
      <w:r>
        <w:rPr>
          <w:b/>
          <w:bCs/>
          <w:color w:val="137566"/>
        </w:rPr>
        <w:t xml:space="preserve">Question 3. </w:t>
      </w:r>
      <w:r>
        <w:rPr>
          <w:b/>
          <w:bCs/>
          <w:color w:val="1C2B39"/>
        </w:rPr>
        <w:t xml:space="preserve">Pourquoi utiliser une jointure gauche lors de la construction de la vue finale ?</w:t>
      </w:r>
    </w:p>
    <w:p>
      <w:pPr>
        <w:spacing w:after="160"/>
        <w:jc w:val="both"/>
      </w:pPr>
      <w:r>
        <w:rPr>
          <w:color w:val="1C2B39"/>
          <w:sz w:val="22"/>
          <w:szCs w:val="22"/>
        </w:rPr>
        <w:t xml:space="preserve">L'objectif de customer_order_360 est de représenter fidèlement l'ensemble des commandes, y compris celles dont les données associées (client, produits, avis, livraison) sont incomplètes ou manquantes. Une jointure interne (inner) aurait silencieusement supprimé ces commandes incomplètes de la vue finale.</w:t>
      </w:r>
    </w:p>
    <w:p>
      <w:pPr>
        <w:spacing w:after="160"/>
        <w:jc w:val="both"/>
      </w:pPr>
      <w:r>
        <w:rPr>
          <w:color w:val="1C2B39"/>
          <w:sz w:val="22"/>
          <w:szCs w:val="22"/>
        </w:rPr>
        <w:t xml:space="preserve">La jointure gauche (Étapes 28 à 32), avec orders_clean toujours à gauche, garantit que les 40 commandes du dataset restent toutes présentes, tout en exposant explicitement les cas incomplets via des colonnes dédiées (customer_found, delivery_found). C'est ce mécanisme qui a permis de détecter la commande ORD000001 dont le client C999 n'existe pas, sans perdre la commande elle-même.</w:t>
      </w:r>
    </w:p>
    <w:p>
      <w:pPr>
        <w:pStyle w:val="Heading2"/>
        <w:spacing w:after="120" w:before="320"/>
      </w:pPr>
      <w:r>
        <w:rPr>
          <w:b/>
          <w:bCs/>
          <w:color w:val="137566"/>
        </w:rPr>
        <w:t xml:space="preserve">Question 4. </w:t>
      </w:r>
      <w:r>
        <w:rPr>
          <w:b/>
          <w:bCs/>
          <w:color w:val="1C2B39"/>
        </w:rPr>
        <w:t xml:space="preserve">Pourquoi les montants financiers doivent-ils utiliser DecimalType ?</w:t>
      </w:r>
    </w:p>
    <w:p>
      <w:pPr>
        <w:spacing w:after="160"/>
        <w:jc w:val="both"/>
      </w:pPr>
      <w:r>
        <w:rPr>
          <w:color w:val="1C2B39"/>
          <w:sz w:val="22"/>
          <w:szCs w:val="22"/>
        </w:rPr>
        <w:t xml:space="preserve">DoubleType repose sur une représentation binaire en virgule flottante, qui ne peut pas représenter exactement certaines valeurs décimales : des opérations répétées (sommes, multiplications par un taux de change) peuvent introduire des écarts d'arrondi de l'ordre du centième, invisibles à l'affichage mais réels en mémoire.</w:t>
      </w:r>
    </w:p>
    <w:p>
      <w:pPr>
        <w:spacing w:after="160"/>
        <w:jc w:val="both"/>
      </w:pPr>
      <w:r>
        <w:rPr>
          <w:color w:val="1C2B39"/>
          <w:sz w:val="22"/>
          <w:szCs w:val="22"/>
        </w:rPr>
        <w:t xml:space="preserve">DecimalType(12,2), utilisé pour total_amount_clean et total_amount_eur dans ce projet, stocke une valeur décimale exacte avec une précision et une échelle fixées, ce qui est indispensable dès lors qu'on compare deux montants (is_amount_consistent, seuil de 0,01 euro en Étape 17) : un écart de calcul dû à un DoubleType aurait pu déclencher de fausses incohérences, ou en masquer de vraies.</w:t>
      </w:r>
    </w:p>
    <w:p>
      <w:pPr>
        <w:pStyle w:val="Heading2"/>
        <w:spacing w:after="120" w:before="320"/>
      </w:pPr>
      <w:r>
        <w:rPr>
          <w:b/>
          <w:bCs/>
          <w:color w:val="137566"/>
        </w:rPr>
        <w:t xml:space="preserve">Question 5. </w:t>
      </w:r>
      <w:r>
        <w:rPr>
          <w:b/>
          <w:bCs/>
          <w:color w:val="1C2B39"/>
        </w:rPr>
        <w:t xml:space="preserve">Quels sont les risques liés à l'inférence automatique du schéma JSON ?</w:t>
      </w:r>
    </w:p>
    <w:p>
      <w:pPr>
        <w:spacing w:after="160"/>
        <w:jc w:val="both"/>
      </w:pPr>
      <w:r>
        <w:rPr>
          <w:color w:val="1C2B39"/>
          <w:sz w:val="22"/>
          <w:szCs w:val="22"/>
        </w:rPr>
        <w:t xml:space="preserve">L'inférence automatique impose à Spark de scanner l'intégralité (ou un large échantillon) du fichier avant de déduire les types, ce qui est coûteux sur de gros volumes et non reproductible si le fichier évolue entre deux exécutions.</w:t>
      </w:r>
    </w:p>
    <w:p>
      <w:pPr>
        <w:spacing w:after="160"/>
        <w:jc w:val="both"/>
      </w:pPr>
      <w:r>
        <w:rPr>
          <w:color w:val="1C2B39"/>
          <w:sz w:val="22"/>
          <w:szCs w:val="22"/>
        </w:rPr>
        <w:t xml:space="preserve">Sur ce projet, on a constaté que l'inférence réordonnait les colonnes par ordre alphabétique (carrier, event_id, event_timestamp...) au lieu de l'ordre naturel du document JSON, ce qui peut casser un traitement en aval dépendant d'un ordre positionnel. Plus largement, l'inférence peut mal typer une colonne si les premières lignes scannées ne sont pas représentatives (par exemple un champ numérique apparaissant comme null au début puis comme entier ensuite). Le StructType explicite (Étape 4) élimine ces deux risques.</w:t>
      </w:r>
    </w:p>
    <w:p>
      <w:pPr>
        <w:pStyle w:val="Heading2"/>
        <w:spacing w:after="120" w:before="320"/>
      </w:pPr>
      <w:r>
        <w:rPr>
          <w:b/>
          <w:bCs/>
          <w:color w:val="137566"/>
        </w:rPr>
        <w:t xml:space="preserve">Question 6. </w:t>
      </w:r>
      <w:r>
        <w:rPr>
          <w:b/>
          <w:bCs/>
          <w:color w:val="1C2B39"/>
        </w:rPr>
        <w:t xml:space="preserve">Pourquoi faut-il agréger les lignes de commande avant certaines jointures ?</w:t>
      </w:r>
    </w:p>
    <w:p>
      <w:pPr>
        <w:spacing w:after="160"/>
        <w:jc w:val="both"/>
      </w:pPr>
      <w:r>
        <w:rPr>
          <w:color w:val="1C2B39"/>
          <w:sz w:val="22"/>
          <w:szCs w:val="22"/>
        </w:rPr>
        <w:t xml:space="preserve">order_items contient plusieurs lignes par commande (un produit par ligne). Si l'on joint directement orders à order_items puis à products sans agréger au préalable, chaque commande se retrouve dupliquée autant de fois qu'elle possède de lignes d'articles, ce qui fausse tout calcul ultérieur (comptages, sommes) sur la table orders.</w:t>
      </w:r>
    </w:p>
    <w:p>
      <w:pPr>
        <w:spacing w:after="160"/>
        <w:jc w:val="both"/>
      </w:pPr>
      <w:r>
        <w:rPr>
          <w:color w:val="1C2B39"/>
          <w:sz w:val="22"/>
          <w:szCs w:val="22"/>
        </w:rPr>
        <w:t xml:space="preserve">L'Étape 30 illustre ce principe : les informations produit sont d'abord agrégées par order_id_clean avec collect_set (product_names, product_categories, product_brands) avant d'être jointes à orders_with_items, garantissant qu'une commande reste représentée par une seule ligne dans customer_order_360, quel que soit son nombre de produits.</w:t>
      </w:r>
    </w:p>
    <w:p>
      <w:pPr>
        <w:pStyle w:val="Heading2"/>
        <w:spacing w:after="120" w:before="320"/>
      </w:pPr>
      <w:r>
        <w:rPr>
          <w:b/>
          <w:bCs/>
          <w:color w:val="137566"/>
        </w:rPr>
        <w:t xml:space="preserve">Question 7. </w:t>
      </w:r>
      <w:r>
        <w:rPr>
          <w:b/>
          <w:bCs/>
          <w:color w:val="1C2B39"/>
        </w:rPr>
        <w:t xml:space="preserve">Comment éviter une multiplication artificielle des lignes ?</w:t>
      </w:r>
    </w:p>
    <w:p>
      <w:pPr>
        <w:spacing w:after="160"/>
        <w:jc w:val="both"/>
      </w:pPr>
      <w:r>
        <w:rPr>
          <w:color w:val="1C2B39"/>
          <w:sz w:val="22"/>
          <w:szCs w:val="22"/>
        </w:rPr>
        <w:t xml:space="preserve">La règle appliquée systématiquement dans ce projet est : agréger au niveau de la granularité souhaitée avant de joindre, jamais après. Chaque jointure de la Partie 10 (order_items, reviews, delivery_events) part d'une table préalablement regroupée par order_id_clean, produisant exactement une ligne par commande.</w:t>
      </w:r>
    </w:p>
    <w:p>
      <w:pPr>
        <w:spacing w:after="160"/>
        <w:jc w:val="both"/>
      </w:pPr>
      <w:r>
        <w:rPr>
          <w:color w:val="1C2B39"/>
          <w:sz w:val="22"/>
          <w:szCs w:val="22"/>
        </w:rPr>
        <w:t xml:space="preserve">Une vérification systématique après chaque jointure — comparer le nombre de lignes du DataFrame joint à celui du DataFrame de gauche — permet de détecter immédiatement une multiplication accidentelle. C'est cette vigilance qui a permis de constater que customer_order_360 conservait bien 40 lignes après les cinq jointures de la Partie 10, identique au nombre initial de commandes.</w:t>
      </w:r>
    </w:p>
    <w:p>
      <w:pPr>
        <w:pStyle w:val="Heading2"/>
        <w:spacing w:after="120" w:before="320"/>
      </w:pPr>
      <w:r>
        <w:rPr>
          <w:b/>
          <w:bCs/>
          <w:color w:val="137566"/>
        </w:rPr>
        <w:t xml:space="preserve">Question 8. </w:t>
      </w:r>
      <w:r>
        <w:rPr>
          <w:b/>
          <w:bCs/>
          <w:color w:val="1C2B39"/>
        </w:rPr>
        <w:t xml:space="preserve">Dans quel cas une jointure broadcast devient-elle dangereuse ?</w:t>
      </w:r>
    </w:p>
    <w:p>
      <w:pPr>
        <w:spacing w:after="160"/>
        <w:jc w:val="both"/>
      </w:pPr>
      <w:r>
        <w:rPr>
          <w:color w:val="1C2B39"/>
          <w:sz w:val="22"/>
          <w:szCs w:val="22"/>
        </w:rPr>
        <w:t xml:space="preserve">Une jointure broadcast copie intégralement la table de droite sur chaque exécuteur du cluster. Si cette table est en réalité volumineuse — par erreur d'estimation, par croissance des données dans le temps, ou par un broadcast forcé manuellement sur une table qui n'est plus petite — chaque exécuteur doit alors charger une copie complète en mémoire, ce qui peut provoquer des erreurs de dépassement de mémoire (OutOfMemory) ou ralentir fortement l'exécution.</w:t>
      </w:r>
    </w:p>
    <w:p>
      <w:pPr>
        <w:spacing w:after="160"/>
        <w:jc w:val="both"/>
      </w:pPr>
      <w:r>
        <w:rPr>
          <w:color w:val="1C2B39"/>
          <w:sz w:val="22"/>
          <w:szCs w:val="22"/>
        </w:rPr>
        <w:t xml:space="preserve">Dans ce projet, taux_change (5 lignes) est un candidat sûr au broadcast. À l'inverse, forcer un broadcast sur products_clean serait risqué si le catalogue produit venait à contenir plusieurs millions de références en production, alors qu'il n'en contient que 15 ici : le choix du broadcast doit toujours être réévalué selon la taille réelle des données en production, pas seulement sur un échantillon de développement.</w:t>
      </w:r>
    </w:p>
    <w:p>
      <w:pPr>
        <w:pStyle w:val="Heading2"/>
        <w:spacing w:after="120" w:before="320"/>
      </w:pPr>
      <w:r>
        <w:rPr>
          <w:b/>
          <w:bCs/>
          <w:color w:val="137566"/>
        </w:rPr>
        <w:t xml:space="preserve">Question 9. </w:t>
      </w:r>
      <w:r>
        <w:rPr>
          <w:b/>
          <w:bCs/>
          <w:color w:val="1C2B39"/>
        </w:rPr>
        <w:t xml:space="preserve">Quelle différence existe-t-il entre repartition() et coalesce() ?</w:t>
      </w:r>
    </w:p>
    <w:p>
      <w:pPr>
        <w:spacing w:after="160"/>
        <w:jc w:val="both"/>
      </w:pPr>
      <w:r>
        <w:rPr>
          <w:color w:val="1C2B39"/>
          <w:sz w:val="22"/>
          <w:szCs w:val="22"/>
        </w:rPr>
        <w:t xml:space="preserve">repartition(n) redistribue intégralement les données sur le réseau entre n nouvelles partitions, via une opération Exchange ; le résultat est équilibré (chaque partition reçoit un volume comparable), mais l'opération est coûteuse en temps et en mouvement de données.</w:t>
      </w:r>
    </w:p>
    <w:p>
      <w:pPr>
        <w:spacing w:after="160"/>
        <w:jc w:val="both"/>
      </w:pPr>
      <w:r>
        <w:rPr>
          <w:color w:val="1C2B39"/>
          <w:sz w:val="22"/>
          <w:szCs w:val="22"/>
        </w:rPr>
        <w:t xml:space="preserve">coalesce(n) fusionne des partitions existantes localement, sans passage réseau, mais ne peut que réduire le nombre de partitions et peut produire un résultat déséquilibré si les partitions d'origine l'étaient déjà. La mesure réalisée en Étape 44 sur customer_order_360 l'illustre : repartition(4) a pris 8,75 secondes contre 6,14 secondes pour coalesce(1), tout en produisant 4 fichiers de 72 Ko cumulés contre 1 fichier de 28 Ko — coalesce(1) était ici à la fois plus rapide et plus compact, car la source ne comptait qu'une seule partition initiale.</w:t>
      </w:r>
    </w:p>
    <w:p>
      <w:pPr>
        <w:pStyle w:val="Heading2"/>
        <w:spacing w:after="120" w:before="320"/>
      </w:pPr>
      <w:r>
        <w:rPr>
          <w:b/>
          <w:bCs/>
          <w:color w:val="137566"/>
        </w:rPr>
        <w:t xml:space="preserve">Question 10. </w:t>
      </w:r>
      <w:r>
        <w:rPr>
          <w:b/>
          <w:bCs/>
          <w:color w:val="1C2B39"/>
        </w:rPr>
        <w:t xml:space="preserve">Pourquoi conserver les données rejetées ?</w:t>
      </w:r>
    </w:p>
    <w:p>
      <w:pPr>
        <w:spacing w:after="160"/>
        <w:jc w:val="both"/>
      </w:pPr>
      <w:r>
        <w:rPr>
          <w:color w:val="1C2B39"/>
          <w:sz w:val="22"/>
          <w:szCs w:val="22"/>
        </w:rPr>
        <w:t xml:space="preserve">Supprimer purement et simplement une ligne invalide fait disparaître toute trace de l'anomalie et empêche tout diagnostic ultérieur : impossible de savoir combien de clients ont un identifiant non normalisable, ou pourquoi une commande a été exclue d'un rapport.</w:t>
      </w:r>
    </w:p>
    <w:p>
      <w:pPr>
        <w:spacing w:after="160"/>
        <w:jc w:val="both"/>
      </w:pPr>
      <w:r>
        <w:rPr>
          <w:color w:val="1C2B39"/>
          <w:sz w:val="22"/>
          <w:szCs w:val="22"/>
        </w:rPr>
        <w:t xml:space="preserve">La zone de rejet mise en place en Partie 13 (/data/output/rejects/, organisée par source, avec source, rejection_reason, rejection_timestamp et original_data sérialisé en JSON) permet de retrouver la donnée d'origine intacte, de comprendre le motif exact du rejet, et éventuellement de la retraiter après correction en amont. Sur ce projet, cela a permis d'isoler précisément 7 dates de commande invalides, 10 notes d'avis hors intervalle et 11 événements de livraison au statut inconnu, sans perte d'information.</w:t>
      </w:r>
    </w:p>
    <w:p>
      <w:pPr>
        <w:pStyle w:val="Heading2"/>
        <w:spacing w:after="120" w:before="320"/>
      </w:pPr>
      <w:r>
        <w:rPr>
          <w:b/>
          <w:bCs/>
          <w:color w:val="137566"/>
        </w:rPr>
        <w:t xml:space="preserve">Question 11. </w:t>
      </w:r>
      <w:r>
        <w:rPr>
          <w:b/>
          <w:bCs/>
          <w:color w:val="1C2B39"/>
        </w:rPr>
        <w:t xml:space="preserve">Comment rendre ce traitement incrémental ?</w:t>
      </w:r>
    </w:p>
    <w:p>
      <w:pPr>
        <w:spacing w:after="160"/>
        <w:jc w:val="both"/>
      </w:pPr>
      <w:r>
        <w:rPr>
          <w:color w:val="1C2B39"/>
          <w:sz w:val="22"/>
          <w:szCs w:val="22"/>
        </w:rPr>
        <w:t xml:space="preserve">Le traitement actuel relit l'intégralité des sources à chaque exécution (mode overwrite complet). Pour le rendre incrémental, il faudrait introduire une notion de haute marque de traitement (watermark) : conserver la date de dernière exécution réussie, puis ne charger que les commandes, avis et événements dont une colonne de suivi (created_at, review_date, event_timestamp) est postérieure à cette marque.</w:t>
      </w:r>
    </w:p>
    <w:p>
      <w:pPr>
        <w:spacing w:after="160"/>
        <w:jc w:val="both"/>
      </w:pPr>
      <w:r>
        <w:rPr>
          <w:color w:val="1C2B39"/>
          <w:sz w:val="22"/>
          <w:szCs w:val="22"/>
        </w:rPr>
        <w:t xml:space="preserve">Concrètement, extract.py chargerait les nouvelles lignes via un filtre WHERE sur cette colonne côté PostgreSQL et MongoDB, tandis que la vue consolidée serait mise à jour par fusion (merge) plutôt que par réécriture complète — ce qui nécessite un format supportant les mises à jour ciblées, contrairement à Parquet brut (voir question 14).</w:t>
      </w:r>
    </w:p>
    <w:p>
      <w:pPr>
        <w:pStyle w:val="Heading2"/>
        <w:spacing w:after="120" w:before="320"/>
      </w:pPr>
      <w:r>
        <w:rPr>
          <w:b/>
          <w:bCs/>
          <w:color w:val="137566"/>
        </w:rPr>
        <w:t xml:space="preserve">Question 12. </w:t>
      </w:r>
      <w:r>
        <w:rPr>
          <w:b/>
          <w:bCs/>
          <w:color w:val="1C2B39"/>
        </w:rPr>
        <w:t xml:space="preserve">Comment garantir l'idempotence du traitement ?</w:t>
      </w:r>
    </w:p>
    <w:p>
      <w:pPr>
        <w:spacing w:after="160"/>
        <w:jc w:val="both"/>
      </w:pPr>
      <w:r>
        <w:rPr>
          <w:color w:val="1C2B39"/>
          <w:sz w:val="22"/>
          <w:szCs w:val="22"/>
        </w:rPr>
        <w:t xml:space="preserve">Un traitement est idempotent si son exécution répétée avec les mêmes données d'entrée produit toujours le même résultat, sans effet de bord cumulatif (doublons, agrégats qui s'additionnent indéfiniment).</w:t>
      </w:r>
    </w:p>
    <w:p>
      <w:pPr>
        <w:spacing w:after="160"/>
        <w:jc w:val="both"/>
      </w:pPr>
      <w:r>
        <w:rPr>
          <w:color w:val="1C2B39"/>
          <w:sz w:val="22"/>
          <w:szCs w:val="22"/>
        </w:rPr>
        <w:t xml:space="preserve">Ce projet applique déjà ce principe à plusieurs niveaux : write.mode("overwrite") remplace intégralement le contenu de sortie à chaque exécution plutôt que d'y ajouter des données (append), et toute déduplication par fenêtre (Window) est recalculée depuis les sources brutes plutôt qu'appliquée de façon incrémentale sur un état déjà dédupliqué. Un relancement du pipeline entier produit donc exactement les mêmes 40 lignes dans customer_order_360, comme vérifié explicitement à l'Étape 38 en comparant le nombre de lignes avant et après réécriture.</w:t>
      </w:r>
    </w:p>
    <w:p>
      <w:pPr>
        <w:pStyle w:val="Heading2"/>
        <w:spacing w:after="120" w:before="320"/>
      </w:pPr>
      <w:r>
        <w:rPr>
          <w:b/>
          <w:bCs/>
          <w:color w:val="137566"/>
        </w:rPr>
        <w:t xml:space="preserve">Question 13. </w:t>
      </w:r>
      <w:r>
        <w:rPr>
          <w:b/>
          <w:bCs/>
          <w:color w:val="1C2B39"/>
        </w:rPr>
        <w:t xml:space="preserve">Comment traiter l'arrivée tardive d'un événement de livraison ?</w:t>
      </w:r>
    </w:p>
    <w:p>
      <w:pPr>
        <w:spacing w:after="160"/>
        <w:jc w:val="both"/>
      </w:pPr>
      <w:r>
        <w:rPr>
          <w:color w:val="1C2B39"/>
          <w:sz w:val="22"/>
          <w:szCs w:val="22"/>
        </w:rPr>
        <w:t xml:space="preserve">Le projet a lui-même illustré ce cas : la commande ORD000011 affiche une date de livraison (19 mars) antérieure à sa date d'expédition (22 mars), preuve que les événements peuvent être reçus dans le désordre par rapport à leur horodatage réel.</w:t>
      </w:r>
    </w:p>
    <w:p>
      <w:pPr>
        <w:spacing w:after="160"/>
        <w:jc w:val="both"/>
      </w:pPr>
      <w:r>
        <w:rPr>
          <w:color w:val="1C2B39"/>
          <w:sz w:val="22"/>
          <w:szCs w:val="22"/>
        </w:rPr>
        <w:t xml:space="preserve">La construction de delivery_summary (Étape 26) traite ce risque en se basant systématiquement sur event_timestamp plutôt que sur l'ordre d'arrivée des lignes : le premier et le dernier événement sont déterminés par tri chronologique via une fonction de fenêtrage, non par l'ordre de lecture du fichier. Pour un traitement véritablement incrémental, il faudrait en complément prévoir une fenêtre de tolérance (par exemple recalculer delivery_summary pour toute commande ayant reçu un nouvel événement dans les N derniers jours), afin qu'un événement tardif puisse encore corriger un résumé déjà calculé.</w:t>
      </w:r>
    </w:p>
    <w:p>
      <w:pPr>
        <w:pStyle w:val="Heading2"/>
        <w:spacing w:after="120" w:before="320"/>
      </w:pPr>
      <w:r>
        <w:rPr>
          <w:b/>
          <w:bCs/>
          <w:color w:val="137566"/>
        </w:rPr>
        <w:t xml:space="preserve">Question 14. </w:t>
      </w:r>
      <w:r>
        <w:rPr>
          <w:b/>
          <w:bCs/>
          <w:color w:val="1C2B39"/>
        </w:rPr>
        <w:t xml:space="preserve">Quel format pourrait remplacer Parquet afin de gérer les mises à jour et les opérations MERGE ?</w:t>
      </w:r>
    </w:p>
    <w:p>
      <w:pPr>
        <w:spacing w:after="160"/>
        <w:jc w:val="both"/>
      </w:pPr>
      <w:r>
        <w:rPr>
          <w:color w:val="1C2B39"/>
          <w:sz w:val="22"/>
          <w:szCs w:val="22"/>
        </w:rPr>
        <w:t xml:space="preserve">Parquet est un format de fichiers immuable : toute modification implique de réécrire entièrement le fichier ou la partition concernée, ce qui explique le recours systématique à write.mode("overwrite") dans ce projet plutôt qu'à une mise à jour ciblée.</w:t>
      </w:r>
    </w:p>
    <w:p>
      <w:pPr>
        <w:spacing w:after="160"/>
        <w:jc w:val="both"/>
      </w:pPr>
      <w:r>
        <w:rPr>
          <w:color w:val="1C2B39"/>
          <w:sz w:val="22"/>
          <w:szCs w:val="22"/>
        </w:rPr>
        <w:t xml:space="preserve">Des formats de table transactionnelle comme Delta Lake, Apache Iceberg ou Apache Hudi ajoutent, au-dessus de fichiers Parquet, un journal de transactions permettant des opérations MERGE INTO, UPDATE et DELETE ciblées, ainsi que le versionnement des données (time travel) et une meilleure gestion de l'arrivée tardive évoquée à la question précédente. Delta Lake serait le choix le plus naturel dans un environnement Spark, du fait de son intégration native.</w:t>
      </w:r>
    </w:p>
    <w:p>
      <w:pPr>
        <w:pStyle w:val="Heading2"/>
        <w:spacing w:after="120" w:before="320"/>
      </w:pPr>
      <w:r>
        <w:rPr>
          <w:b/>
          <w:bCs/>
          <w:color w:val="137566"/>
        </w:rPr>
        <w:t xml:space="preserve">Question 15. </w:t>
      </w:r>
      <w:r>
        <w:rPr>
          <w:b/>
          <w:bCs/>
          <w:color w:val="1C2B39"/>
        </w:rPr>
        <w:t xml:space="preserve">Quels indicateurs faudrait-il superviser en production ?</w:t>
      </w:r>
    </w:p>
    <w:p>
      <w:pPr>
        <w:spacing w:after="160"/>
        <w:jc w:val="both"/>
      </w:pPr>
      <w:r>
        <w:rPr>
          <w:color w:val="1C2B39"/>
          <w:sz w:val="22"/>
          <w:szCs w:val="22"/>
        </w:rPr>
        <w:t xml:space="preserve">Sur la qualité des données : le pourcentage de lignes rejetées par source et par motif (en surveillant une dérive anormale), la distribution des data_quality_score et quality_level dans customer_order_360, ainsi que le pourcentage de commandes orphelines (customer_found = false) et sans livraison associée (delivery_found = false).</w:t>
      </w:r>
    </w:p>
    <w:p>
      <w:pPr>
        <w:spacing w:after="160"/>
        <w:jc w:val="both"/>
      </w:pPr>
      <w:r>
        <w:rPr>
          <w:color w:val="1C2B39"/>
          <w:sz w:val="22"/>
          <w:szCs w:val="22"/>
        </w:rPr>
        <w:t xml:space="preserve">Sur l'exécution technique : le temps total du pipeline et le temps par étape (extraction, nettoyage, jointures, écriture), le nombre et la taille des fichiers Parquet produits par partition (pour détecter une dérive vers un grand nombre de petits fichiers), ainsi que les échecs de contrôle de cohérence (validation_results, Partie 12) qui, en production, devraient déclencher une alerte plutôt qu'un simple enregistrement dans un rapport.</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79"/>
        <w:sz w:val="15"/>
        <w:szCs w:val="15"/>
      </w:rPr>
      <w:t xml:space="preserve">Clément Ferry MAMA — Etudiant en Data Engineering — Projet réalisé dans le cadre de mon apprentissage — 2025/2026</w:t>
    </w:r>
  </w:p>
  <w:p>
    <w:pPr>
      <w:jc w:val="center"/>
    </w:pPr>
    <w:r>
      <w:rPr>
        <w:color w:val="5B6B79"/>
        <w:sz w:val="15"/>
        <w:szCs w:val="15"/>
      </w:rPr>
      <w:t xml:space="preserve">Page </w:t>
    </w:r>
    <w:r>
      <w:rPr>
        <w:color w:val="5B6B7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CE4EA" w:sz="4"/>
      </w:pBdr>
      <w:jc w:val="right"/>
    </w:pPr>
    <w:r>
      <w:rPr>
        <w:color w:val="5B6B79"/>
        <w:sz w:val="16"/>
        <w:szCs w:val="16"/>
      </w:rPr>
      <w:t xml:space="preserve">TP avancé PySpark — Partie 17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2026-07-23T11:09:11.819Z</dcterms:created>
  <dcterms:modified xsi:type="dcterms:W3CDTF">2026-07-23T11:09:11.833Z</dcterms:modified>
</cp:coreProperties>
</file>

<file path=docProps/custom.xml><?xml version="1.0" encoding="utf-8"?>
<Properties xmlns="http://schemas.openxmlformats.org/officeDocument/2006/custom-properties" xmlns:vt="http://schemas.openxmlformats.org/officeDocument/2006/docPropsVTypes"/>
</file>