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6648836"/>
        <w:docPartObj>
          <w:docPartGallery w:val="Cover Pages"/>
          <w:docPartUnique/>
        </w:docPartObj>
      </w:sdtPr>
      <w:sdtContent>
        <w:p w14:paraId="08064CAF" w14:textId="24921795" w:rsidR="006306A6" w:rsidRDefault="006306A6"/>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6306A6" w14:paraId="6551F632" w14:textId="77777777">
            <w:tc>
              <w:tcPr>
                <w:tcW w:w="7672" w:type="dxa"/>
                <w:tcMar>
                  <w:top w:w="216" w:type="dxa"/>
                  <w:left w:w="115" w:type="dxa"/>
                  <w:bottom w:w="216" w:type="dxa"/>
                  <w:right w:w="115" w:type="dxa"/>
                </w:tcMar>
              </w:tcPr>
              <w:p w14:paraId="74B881A1" w14:textId="669BC765" w:rsidR="006306A6" w:rsidRDefault="006306A6">
                <w:pPr>
                  <w:pStyle w:val="Sansinterligne"/>
                  <w:rPr>
                    <w:color w:val="0F4761" w:themeColor="accent1" w:themeShade="BF"/>
                    <w:sz w:val="24"/>
                  </w:rPr>
                </w:pPr>
              </w:p>
            </w:tc>
          </w:tr>
          <w:tr w:rsidR="006306A6" w14:paraId="1410ECA7" w14:textId="77777777">
            <w:tc>
              <w:tcPr>
                <w:tcW w:w="7672" w:type="dxa"/>
              </w:tcPr>
              <w:p w14:paraId="145ECDFC" w14:textId="385D17F0" w:rsidR="006306A6" w:rsidRDefault="00C4498C">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Projet Valpena</w:t>
                </w:r>
                <w:r w:rsidR="006306A6">
                  <w:rPr>
                    <w:rFonts w:asciiTheme="majorHAnsi" w:eastAsiaTheme="majorEastAsia" w:hAnsiTheme="majorHAnsi" w:cstheme="majorBidi"/>
                    <w:color w:val="156082" w:themeColor="accent1"/>
                    <w:sz w:val="88"/>
                    <w:szCs w:val="88"/>
                  </w:rPr>
                  <w:t xml:space="preserve"> </w:t>
                </w:r>
              </w:p>
            </w:tc>
          </w:tr>
          <w:tr w:rsidR="006306A6" w14:paraId="686ED281" w14:textId="77777777" w:rsidTr="00C4498C">
            <w:trPr>
              <w:trHeight w:val="14"/>
            </w:trPr>
            <w:sdt>
              <w:sdtPr>
                <w:rPr>
                  <w:rFonts w:eastAsiaTheme="minorHAnsi"/>
                  <w:color w:val="0F4761" w:themeColor="accent1" w:themeShade="BF"/>
                  <w:kern w:val="2"/>
                  <w:sz w:val="24"/>
                  <w:szCs w:val="24"/>
                  <w:lang w:eastAsia="en-US"/>
                  <w14:ligatures w14:val="standardContextual"/>
                </w:rPr>
                <w:alias w:val="Sous-titre"/>
                <w:id w:val="13406923"/>
                <w:placeholder>
                  <w:docPart w:val="7FC26EB249D54BEB9A5127878B257FD6"/>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8538DAB" w14:textId="202DE5AD" w:rsidR="006306A6" w:rsidRDefault="00C4498C" w:rsidP="006306A6">
                    <w:pPr>
                      <w:pStyle w:val="Sansinterligne"/>
                      <w:rPr>
                        <w:color w:val="0F4761" w:themeColor="accent1" w:themeShade="BF"/>
                        <w:sz w:val="24"/>
                      </w:rPr>
                    </w:pPr>
                    <w:r w:rsidRPr="00C4498C">
                      <w:rPr>
                        <w:rFonts w:eastAsiaTheme="minorHAnsi"/>
                        <w:color w:val="0F4761" w:themeColor="accent1" w:themeShade="BF"/>
                        <w:kern w:val="2"/>
                        <w:sz w:val="24"/>
                        <w:szCs w:val="24"/>
                        <w:lang w:eastAsia="en-US"/>
                        <w14:ligatures w14:val="standardContextual"/>
                      </w:rPr>
                      <w:t>SAÉ</w:t>
                    </w:r>
                    <w:r>
                      <w:rPr>
                        <w:rFonts w:eastAsiaTheme="minorHAnsi"/>
                        <w:color w:val="0F4761" w:themeColor="accent1" w:themeShade="BF"/>
                        <w:kern w:val="2"/>
                        <w:sz w:val="24"/>
                        <w:szCs w:val="24"/>
                        <w:lang w:eastAsia="en-US"/>
                        <w14:ligatures w14:val="standardContextual"/>
                      </w:rPr>
                      <w:t xml:space="preserve"> 3-01</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6306A6" w14:paraId="3CFD519F"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8040D79E00DE43C893E0C569F1F2BD8A"/>
                  </w:placeholder>
                  <w:dataBinding w:prefixMappings="xmlns:ns0='http://schemas.openxmlformats.org/package/2006/metadata/core-properties' xmlns:ns1='http://purl.org/dc/elements/1.1/'" w:xpath="/ns0:coreProperties[1]/ns1:creator[1]" w:storeItemID="{6C3C8BC8-F283-45AE-878A-BAB7291924A1}"/>
                  <w:text/>
                </w:sdtPr>
                <w:sdtContent>
                  <w:p w14:paraId="7E8E8297" w14:textId="680875D1" w:rsidR="006306A6" w:rsidRDefault="006306A6">
                    <w:pPr>
                      <w:pStyle w:val="Sansinterligne"/>
                      <w:rPr>
                        <w:color w:val="156082" w:themeColor="accent1"/>
                        <w:sz w:val="28"/>
                        <w:szCs w:val="28"/>
                      </w:rPr>
                    </w:pPr>
                    <w:r>
                      <w:rPr>
                        <w:color w:val="156082" w:themeColor="accent1"/>
                        <w:sz w:val="28"/>
                        <w:szCs w:val="28"/>
                      </w:rPr>
                      <w:t>Hugo CAILLON | Ulysse COULON | Elouen BOUET | Clément ROUSSEL</w:t>
                    </w:r>
                  </w:p>
                </w:sdtContent>
              </w:sdt>
              <w:p w14:paraId="3C34D1FE" w14:textId="60F8B877" w:rsidR="006306A6" w:rsidRDefault="006306A6">
                <w:pPr>
                  <w:pStyle w:val="Sansinterligne"/>
                  <w:rPr>
                    <w:color w:val="156082" w:themeColor="accent1"/>
                    <w:sz w:val="28"/>
                    <w:szCs w:val="28"/>
                  </w:rPr>
                </w:pPr>
              </w:p>
              <w:p w14:paraId="5168CFEB" w14:textId="77777777" w:rsidR="006306A6" w:rsidRDefault="006306A6">
                <w:pPr>
                  <w:pStyle w:val="Sansinterligne"/>
                  <w:rPr>
                    <w:color w:val="156082" w:themeColor="accent1"/>
                  </w:rPr>
                </w:pPr>
              </w:p>
            </w:tc>
          </w:tr>
        </w:tbl>
        <w:p w14:paraId="478C2D8A" w14:textId="192110E6" w:rsidR="006306A6" w:rsidRDefault="006306A6">
          <w:r>
            <w:br w:type="page"/>
          </w:r>
        </w:p>
      </w:sdtContent>
    </w:sdt>
    <w:p w14:paraId="2678EC19" w14:textId="7ADCD397" w:rsidR="001473CD" w:rsidRDefault="00C4498C" w:rsidP="00A6368E">
      <w:pPr>
        <w:pStyle w:val="Titre1"/>
      </w:pPr>
      <w:bookmarkStart w:id="0" w:name="_Hlk215730592"/>
      <w:r>
        <w:lastRenderedPageBreak/>
        <w:t>Introduction et présentation</w:t>
      </w:r>
    </w:p>
    <w:bookmarkEnd w:id="0"/>
    <w:p w14:paraId="2DE9AF5E" w14:textId="77777777" w:rsidR="00C4498C" w:rsidRPr="00C4498C" w:rsidRDefault="00C4498C" w:rsidP="00C4498C"/>
    <w:p w14:paraId="39B8851C" w14:textId="77777777" w:rsidR="0084096A" w:rsidRPr="0084096A" w:rsidRDefault="0084096A" w:rsidP="0084096A">
      <w:pPr>
        <w:spacing w:after="120" w:line="312" w:lineRule="auto"/>
        <w:ind w:firstLine="709"/>
        <w:jc w:val="both"/>
        <w:rPr>
          <w:rFonts w:ascii="Calibri" w:hAnsi="Calibri" w:cs="Calibri"/>
          <w:sz w:val="22"/>
          <w:szCs w:val="22"/>
        </w:rPr>
      </w:pPr>
      <w:r w:rsidRPr="0084096A">
        <w:rPr>
          <w:rFonts w:ascii="Calibri" w:hAnsi="Calibri" w:cs="Calibri"/>
          <w:sz w:val="22"/>
          <w:szCs w:val="22"/>
        </w:rPr>
        <w:t>Le GIS Valpena (Groupement d’Intérêt Scientifique VALPENA) rassemble des organismes scientifiques (comme l’Université de Nantes) et les comités des pêches de plusieurs régions de France.</w:t>
      </w:r>
    </w:p>
    <w:p w14:paraId="76D765B3" w14:textId="77777777" w:rsidR="0084096A" w:rsidRPr="0084096A" w:rsidRDefault="0084096A" w:rsidP="0084096A">
      <w:pPr>
        <w:spacing w:after="120" w:line="312" w:lineRule="auto"/>
        <w:ind w:firstLine="709"/>
        <w:jc w:val="both"/>
        <w:rPr>
          <w:rFonts w:ascii="Calibri" w:hAnsi="Calibri" w:cs="Calibri"/>
          <w:sz w:val="22"/>
          <w:szCs w:val="22"/>
        </w:rPr>
      </w:pPr>
      <w:r w:rsidRPr="0084096A">
        <w:rPr>
          <w:rFonts w:ascii="Calibri" w:hAnsi="Calibri" w:cs="Calibri"/>
          <w:sz w:val="22"/>
          <w:szCs w:val="22"/>
        </w:rPr>
        <w:t>Son but est de cartographier les zones de pêche pour voir où, quand et comment les pêcheurs bossent en mer et sur la côte. Avec de plus en plus d'activités qui se partagent l'espace maritime (énergies renouvelables, bateaux, zones protégées, etc.), il est important de bien connaître ces zones pour défendre les pêcheurs et organiser l'espace maritime.</w:t>
      </w:r>
    </w:p>
    <w:p w14:paraId="39E39E98" w14:textId="40657EC3" w:rsidR="00C4498C" w:rsidRDefault="0084096A" w:rsidP="0084096A">
      <w:pPr>
        <w:spacing w:after="120" w:line="312" w:lineRule="auto"/>
        <w:ind w:firstLine="709"/>
        <w:jc w:val="both"/>
        <w:rPr>
          <w:rFonts w:ascii="Calibri" w:eastAsiaTheme="majorEastAsia" w:hAnsi="Calibri" w:cstheme="majorBidi"/>
          <w:b/>
          <w:color w:val="156082" w:themeColor="accent1"/>
          <w:sz w:val="36"/>
          <w:szCs w:val="40"/>
          <w:u w:val="single"/>
        </w:rPr>
      </w:pPr>
      <w:r w:rsidRPr="0084096A">
        <w:rPr>
          <w:rFonts w:ascii="Calibri" w:hAnsi="Calibri" w:cs="Calibri"/>
          <w:sz w:val="22"/>
          <w:szCs w:val="22"/>
        </w:rPr>
        <w:t>Le GIS Valpena fait plusieurs choses. D'abord, il crée des règles communes pour collecter et traiter les infos, pour que chaque région sorte des données comparables. Ensuite, il fait le lien entre les acteurs en fournissant des outils, en organisant des groupes de travail et en aidant à appliquer les règles. Le GIS doit aussi gérer les données, les faire connaître et s'assurer qu'elles servent dans les projets de recherche. Enfin, il permet aux membres de répondre ensemble aux appels d'offres sur la gestion de l'espace maritime. Les données viennent surtout d'enquêtes faites chaque année auprès des pêcheurs. Ce sont des infos déclaratives, obtenues lors de discussions individuelles. Elles décrivent l'activité de l'année d'avant : les endroits où ils pêchent (avec une carte spéciale), les outils qu'ils utilisent, les espèces qu'ils visent et les périodes où ils sont actifs. Les enquêtes se font sur trois ans : une année de recensement complet et deux années avec un échantillon de pêcheurs. Les données sont saisies dans l'application ValpeMap, puis vérifiées par tout le monde. Avec ces données, le GIS Valpena sort sept indicateurs importants, les mêmes pour toutes les régions : la quantité de pêche, le nombre de fois où l'on pêche, l'ampleur de la pêche, les lieux de pêche importants, les périodes de pêche importantes, les périodes où la pêche est forte, la valeur économique de la pêche. Ces indicateurs servent à montrer et à comprendre comment la pêche est répartie et ce qu'elle vaut dans les différentes zones maritimes. Les données Valpena servent à pas mal de choses. Elles peuvent aider à trouver les pêcheurs concernés par un problème local (comme le Brexit), à accélérer les discussions ou à demander des indemnisations. Elles servent aussi à faire des études sur l'économie, les risques pour la pêche ou la sécurité en mer. Elles peuvent aussi aider à prévoir l'avenir, en tenant compte des enjeux de la pêche dans l'aménagement de l'espace maritime, surtout avec les nouvelles activités (éoliennes, zones protégées...). En plus, entre 2012 et 2020, plus de 130 études ont utilisé ces données, surtout pour décrire les zones de pêche ou voir comment elles interagissent avec l'environnement.</w:t>
      </w:r>
    </w:p>
    <w:p w14:paraId="4123BD72" w14:textId="77777777" w:rsidR="0084096A" w:rsidRDefault="0084096A" w:rsidP="00C4498C">
      <w:pPr>
        <w:rPr>
          <w:rFonts w:ascii="Calibri" w:eastAsiaTheme="majorEastAsia" w:hAnsi="Calibri" w:cstheme="majorBidi"/>
          <w:b/>
          <w:color w:val="156082" w:themeColor="accent1"/>
          <w:sz w:val="36"/>
          <w:szCs w:val="40"/>
          <w:u w:val="single"/>
        </w:rPr>
      </w:pPr>
    </w:p>
    <w:p w14:paraId="701FF1C2" w14:textId="77777777" w:rsidR="0084096A" w:rsidRDefault="0084096A" w:rsidP="00C4498C">
      <w:pPr>
        <w:rPr>
          <w:rFonts w:ascii="Calibri" w:eastAsiaTheme="majorEastAsia" w:hAnsi="Calibri" w:cstheme="majorBidi"/>
          <w:b/>
          <w:color w:val="156082" w:themeColor="accent1"/>
          <w:sz w:val="36"/>
          <w:szCs w:val="40"/>
          <w:u w:val="single"/>
        </w:rPr>
      </w:pPr>
    </w:p>
    <w:p w14:paraId="23539C73" w14:textId="77777777" w:rsidR="0084096A" w:rsidRDefault="0084096A" w:rsidP="00C4498C">
      <w:pPr>
        <w:rPr>
          <w:rFonts w:ascii="Calibri" w:eastAsiaTheme="majorEastAsia" w:hAnsi="Calibri" w:cstheme="majorBidi"/>
          <w:b/>
          <w:color w:val="156082" w:themeColor="accent1"/>
          <w:sz w:val="36"/>
          <w:szCs w:val="40"/>
          <w:u w:val="single"/>
        </w:rPr>
      </w:pPr>
    </w:p>
    <w:p w14:paraId="41A679C2" w14:textId="77777777" w:rsidR="0084096A" w:rsidRDefault="0084096A" w:rsidP="00C4498C">
      <w:pPr>
        <w:rPr>
          <w:rFonts w:ascii="Calibri" w:eastAsiaTheme="majorEastAsia" w:hAnsi="Calibri" w:cstheme="majorBidi"/>
          <w:b/>
          <w:color w:val="156082" w:themeColor="accent1"/>
          <w:sz w:val="36"/>
          <w:szCs w:val="40"/>
          <w:u w:val="single"/>
        </w:rPr>
      </w:pPr>
    </w:p>
    <w:p w14:paraId="6D80F325" w14:textId="06FCD08D" w:rsidR="0084096A" w:rsidRDefault="00C4498C" w:rsidP="00C4498C">
      <w:pPr>
        <w:rPr>
          <w:rFonts w:ascii="Calibri" w:eastAsiaTheme="majorEastAsia" w:hAnsi="Calibri" w:cstheme="majorBidi"/>
          <w:b/>
          <w:color w:val="156082" w:themeColor="accent1"/>
          <w:sz w:val="36"/>
          <w:szCs w:val="40"/>
          <w:u w:val="single"/>
        </w:rPr>
      </w:pPr>
      <w:r>
        <w:rPr>
          <w:rFonts w:ascii="Calibri" w:eastAsiaTheme="majorEastAsia" w:hAnsi="Calibri" w:cstheme="majorBidi"/>
          <w:b/>
          <w:color w:val="156082" w:themeColor="accent1"/>
          <w:sz w:val="36"/>
          <w:szCs w:val="40"/>
          <w:u w:val="single"/>
        </w:rPr>
        <w:lastRenderedPageBreak/>
        <w:t>Calcul des indicateurs</w:t>
      </w:r>
    </w:p>
    <w:p w14:paraId="4C440C5B" w14:textId="77777777" w:rsidR="0084096A" w:rsidRDefault="0084096A" w:rsidP="00C4498C">
      <w:pPr>
        <w:spacing w:line="259" w:lineRule="auto"/>
        <w:jc w:val="both"/>
        <w:rPr>
          <w:rFonts w:ascii="Calibri" w:eastAsia="Aptos" w:hAnsi="Calibri" w:cs="Calibri"/>
          <w:b/>
          <w:bCs/>
          <w:kern w:val="0"/>
          <w:sz w:val="22"/>
          <w:szCs w:val="22"/>
          <w14:ligatures w14:val="none"/>
        </w:rPr>
      </w:pPr>
    </w:p>
    <w:p w14:paraId="14A52413" w14:textId="2BD95950" w:rsidR="00C4498C" w:rsidRPr="00C4498C" w:rsidRDefault="00C4498C" w:rsidP="00C4498C">
      <w:pPr>
        <w:spacing w:line="259" w:lineRule="auto"/>
        <w:jc w:val="both"/>
        <w:rPr>
          <w:rFonts w:ascii="Calibri" w:eastAsia="Aptos" w:hAnsi="Calibri" w:cs="Calibri"/>
          <w:b/>
          <w:bCs/>
          <w:kern w:val="0"/>
          <w:sz w:val="22"/>
          <w:szCs w:val="22"/>
          <w14:ligatures w14:val="none"/>
        </w:rPr>
      </w:pPr>
      <w:r w:rsidRPr="00C4498C">
        <w:rPr>
          <w:rFonts w:ascii="Calibri" w:eastAsia="Aptos" w:hAnsi="Calibri" w:cs="Calibri"/>
          <w:b/>
          <w:bCs/>
          <w:kern w:val="0"/>
          <w:sz w:val="22"/>
          <w:szCs w:val="22"/>
          <w14:ligatures w14:val="none"/>
        </w:rPr>
        <w:t>1. Description des Données</w:t>
      </w:r>
    </w:p>
    <w:p w14:paraId="1E65B6C9" w14:textId="77777777" w:rsidR="00C4498C" w:rsidRPr="00C4498C" w:rsidRDefault="00C4498C" w:rsidP="00C4498C">
      <w:pPr>
        <w:spacing w:line="259" w:lineRule="auto"/>
        <w:jc w:val="both"/>
        <w:rPr>
          <w:rFonts w:ascii="Calibri" w:eastAsia="Aptos" w:hAnsi="Calibri" w:cs="Calibri"/>
          <w:kern w:val="0"/>
          <w:sz w:val="22"/>
          <w:szCs w:val="22"/>
          <w14:ligatures w14:val="none"/>
        </w:rPr>
      </w:pPr>
      <w:r w:rsidRPr="00C4498C">
        <w:rPr>
          <w:rFonts w:ascii="Calibri" w:eastAsia="Aptos" w:hAnsi="Calibri" w:cs="Calibri"/>
          <w:kern w:val="0"/>
          <w:sz w:val="22"/>
          <w:szCs w:val="22"/>
          <w14:ligatures w14:val="none"/>
        </w:rPr>
        <w:t xml:space="preserve">Analyse d'une flotte de </w:t>
      </w:r>
      <w:r w:rsidRPr="00C4498C">
        <w:rPr>
          <w:rFonts w:ascii="Calibri" w:eastAsia="Aptos" w:hAnsi="Calibri" w:cs="Calibri"/>
          <w:b/>
          <w:bCs/>
          <w:kern w:val="0"/>
          <w:sz w:val="22"/>
          <w:szCs w:val="22"/>
          <w14:ligatures w14:val="none"/>
        </w:rPr>
        <w:t>N navires</w:t>
      </w:r>
      <w:r w:rsidRPr="00C4498C">
        <w:rPr>
          <w:rFonts w:ascii="Calibri" w:eastAsia="Aptos" w:hAnsi="Calibri" w:cs="Calibri"/>
          <w:kern w:val="0"/>
          <w:sz w:val="22"/>
          <w:szCs w:val="22"/>
          <w14:ligatures w14:val="none"/>
        </w:rPr>
        <w:t xml:space="preserve"> de pêche en Bretagne avec deux types d'échantillons : </w:t>
      </w:r>
      <w:r w:rsidRPr="00C4498C">
        <w:rPr>
          <w:rFonts w:ascii="Calibri" w:eastAsia="Aptos" w:hAnsi="Calibri" w:cs="Calibri"/>
          <w:b/>
          <w:bCs/>
          <w:kern w:val="0"/>
          <w:sz w:val="22"/>
          <w:szCs w:val="22"/>
          <w14:ligatures w14:val="none"/>
        </w:rPr>
        <w:t>aléatoire</w:t>
      </w:r>
      <w:r w:rsidRPr="00C4498C">
        <w:rPr>
          <w:rFonts w:ascii="Calibri" w:eastAsia="Aptos" w:hAnsi="Calibri" w:cs="Calibri"/>
          <w:kern w:val="0"/>
          <w:sz w:val="22"/>
          <w:szCs w:val="22"/>
          <w14:ligatures w14:val="none"/>
        </w:rPr>
        <w:t xml:space="preserve"> (tirage au sort) et </w:t>
      </w:r>
      <w:r w:rsidRPr="00C4498C">
        <w:rPr>
          <w:rFonts w:ascii="Calibri" w:eastAsia="Aptos" w:hAnsi="Calibri" w:cs="Calibri"/>
          <w:b/>
          <w:bCs/>
          <w:kern w:val="0"/>
          <w:sz w:val="22"/>
          <w:szCs w:val="22"/>
          <w14:ligatures w14:val="none"/>
        </w:rPr>
        <w:t>systématique</w:t>
      </w:r>
      <w:r w:rsidRPr="00C4498C">
        <w:rPr>
          <w:rFonts w:ascii="Calibri" w:eastAsia="Aptos" w:hAnsi="Calibri" w:cs="Calibri"/>
          <w:kern w:val="0"/>
          <w:sz w:val="22"/>
          <w:szCs w:val="22"/>
          <w14:ligatures w14:val="none"/>
        </w:rPr>
        <w:t xml:space="preserve"> (exhaustif). Le </w:t>
      </w:r>
      <w:r w:rsidRPr="00C4498C">
        <w:rPr>
          <w:rFonts w:ascii="Calibri" w:eastAsia="Aptos" w:hAnsi="Calibri" w:cs="Calibri"/>
          <w:b/>
          <w:bCs/>
          <w:kern w:val="0"/>
          <w:sz w:val="22"/>
          <w:szCs w:val="22"/>
          <w14:ligatures w14:val="none"/>
        </w:rPr>
        <w:t>taux d'enquête</w:t>
      </w:r>
      <w:r w:rsidRPr="00C4498C">
        <w:rPr>
          <w:rFonts w:ascii="Calibri" w:eastAsia="Aptos" w:hAnsi="Calibri" w:cs="Calibri"/>
          <w:kern w:val="0"/>
          <w:sz w:val="22"/>
          <w:szCs w:val="22"/>
          <w14:ligatures w14:val="none"/>
        </w:rPr>
        <w:t xml:space="preserve"> mesure le ratio navires enquêtés/navires à enquêter. L'échantillon aléatoire distingue liste principale (tirage initial) et liste supplémentaire (remplacements).</w:t>
      </w:r>
    </w:p>
    <w:p w14:paraId="3F21F43E" w14:textId="77777777" w:rsidR="00C4498C" w:rsidRPr="00C4498C" w:rsidRDefault="00C4498C" w:rsidP="00C4498C">
      <w:pPr>
        <w:spacing w:line="259" w:lineRule="auto"/>
        <w:jc w:val="both"/>
        <w:rPr>
          <w:rFonts w:ascii="Calibri" w:eastAsia="Aptos" w:hAnsi="Calibri" w:cs="Calibri"/>
          <w:b/>
          <w:bCs/>
          <w:kern w:val="0"/>
          <w:sz w:val="22"/>
          <w:szCs w:val="22"/>
          <w14:ligatures w14:val="none"/>
        </w:rPr>
      </w:pPr>
      <w:r w:rsidRPr="00C4498C">
        <w:rPr>
          <w:rFonts w:ascii="Calibri" w:eastAsia="Aptos" w:hAnsi="Calibri" w:cs="Calibri"/>
          <w:b/>
          <w:bCs/>
          <w:kern w:val="0"/>
          <w:sz w:val="22"/>
          <w:szCs w:val="22"/>
          <w14:ligatures w14:val="none"/>
        </w:rPr>
        <w:t>2. Poids de Sondage</w:t>
      </w:r>
    </w:p>
    <w:p w14:paraId="14A3C358" w14:textId="77777777" w:rsidR="00C4498C" w:rsidRPr="00C4498C" w:rsidRDefault="00C4498C" w:rsidP="00C4498C">
      <w:pPr>
        <w:spacing w:line="259" w:lineRule="auto"/>
        <w:jc w:val="both"/>
        <w:rPr>
          <w:rFonts w:ascii="Calibri" w:eastAsia="Aptos" w:hAnsi="Calibri" w:cs="Calibri"/>
          <w:kern w:val="0"/>
          <w:sz w:val="22"/>
          <w:szCs w:val="22"/>
          <w14:ligatures w14:val="none"/>
        </w:rPr>
      </w:pPr>
      <w:r w:rsidRPr="00C4498C">
        <w:rPr>
          <w:rFonts w:ascii="Calibri" w:eastAsia="Aptos" w:hAnsi="Calibri" w:cs="Calibri"/>
          <w:b/>
          <w:bCs/>
          <w:kern w:val="0"/>
          <w:sz w:val="22"/>
          <w:szCs w:val="22"/>
          <w14:ligatures w14:val="none"/>
        </w:rPr>
        <w:t>Identification des répondants</w:t>
      </w:r>
      <w:r w:rsidRPr="00C4498C">
        <w:rPr>
          <w:rFonts w:ascii="Calibri" w:eastAsia="Aptos" w:hAnsi="Calibri" w:cs="Calibri"/>
          <w:kern w:val="0"/>
          <w:sz w:val="22"/>
          <w:szCs w:val="22"/>
          <w14:ligatures w14:val="none"/>
        </w:rPr>
        <w:t xml:space="preserve"> : Détection des navires "intrus" (inactifs, mal classés) exclus des estimations. Trois situations par strate : </w:t>
      </w:r>
      <w:r w:rsidRPr="00C4498C">
        <w:rPr>
          <w:rFonts w:ascii="Calibri" w:eastAsia="Aptos" w:hAnsi="Calibri" w:cs="Calibri"/>
          <w:b/>
          <w:bCs/>
          <w:kern w:val="0"/>
          <w:sz w:val="22"/>
          <w:szCs w:val="22"/>
          <w14:ligatures w14:val="none"/>
        </w:rPr>
        <w:t>vides</w:t>
      </w:r>
      <w:r w:rsidRPr="00C4498C">
        <w:rPr>
          <w:rFonts w:ascii="Calibri" w:eastAsia="Aptos" w:hAnsi="Calibri" w:cs="Calibri"/>
          <w:kern w:val="0"/>
          <w:sz w:val="22"/>
          <w:szCs w:val="22"/>
          <w14:ligatures w14:val="none"/>
        </w:rPr>
        <w:t xml:space="preserve"> (aucun répondant), </w:t>
      </w:r>
      <w:r w:rsidRPr="00C4498C">
        <w:rPr>
          <w:rFonts w:ascii="Calibri" w:eastAsia="Aptos" w:hAnsi="Calibri" w:cs="Calibri"/>
          <w:b/>
          <w:bCs/>
          <w:kern w:val="0"/>
          <w:sz w:val="22"/>
          <w:szCs w:val="22"/>
          <w14:ligatures w14:val="none"/>
        </w:rPr>
        <w:t>incomplètes</w:t>
      </w:r>
      <w:r w:rsidRPr="00C4498C">
        <w:rPr>
          <w:rFonts w:ascii="Calibri" w:eastAsia="Aptos" w:hAnsi="Calibri" w:cs="Calibri"/>
          <w:kern w:val="0"/>
          <w:sz w:val="22"/>
          <w:szCs w:val="22"/>
          <w14:ligatures w14:val="none"/>
        </w:rPr>
        <w:t xml:space="preserve"> (manque de répondants), </w:t>
      </w:r>
      <w:r w:rsidRPr="00C4498C">
        <w:rPr>
          <w:rFonts w:ascii="Calibri" w:eastAsia="Aptos" w:hAnsi="Calibri" w:cs="Calibri"/>
          <w:b/>
          <w:bCs/>
          <w:kern w:val="0"/>
          <w:sz w:val="22"/>
          <w:szCs w:val="22"/>
          <w14:ligatures w14:val="none"/>
        </w:rPr>
        <w:t>sur-échantillonnées</w:t>
      </w:r>
      <w:r w:rsidRPr="00C4498C">
        <w:rPr>
          <w:rFonts w:ascii="Calibri" w:eastAsia="Aptos" w:hAnsi="Calibri" w:cs="Calibri"/>
          <w:kern w:val="0"/>
          <w:sz w:val="22"/>
          <w:szCs w:val="22"/>
          <w14:ligatures w14:val="none"/>
        </w:rPr>
        <w:t xml:space="preserve"> (excès de répondants).</w:t>
      </w:r>
    </w:p>
    <w:p w14:paraId="6989D21F" w14:textId="77777777" w:rsidR="00C4498C" w:rsidRPr="00C4498C" w:rsidRDefault="00C4498C" w:rsidP="00C4498C">
      <w:pPr>
        <w:spacing w:line="259" w:lineRule="auto"/>
        <w:jc w:val="both"/>
        <w:rPr>
          <w:rFonts w:ascii="Calibri" w:eastAsia="Aptos" w:hAnsi="Calibri" w:cs="Calibri"/>
          <w:kern w:val="0"/>
          <w:sz w:val="22"/>
          <w:szCs w:val="22"/>
          <w14:ligatures w14:val="none"/>
        </w:rPr>
      </w:pPr>
      <w:r w:rsidRPr="00C4498C">
        <w:rPr>
          <w:rFonts w:ascii="Calibri" w:eastAsia="Aptos" w:hAnsi="Calibri" w:cs="Calibri"/>
          <w:b/>
          <w:bCs/>
          <w:kern w:val="0"/>
          <w:sz w:val="22"/>
          <w:szCs w:val="22"/>
          <w14:ligatures w14:val="none"/>
        </w:rPr>
        <w:t>Poids théoriques</w:t>
      </w:r>
      <w:r w:rsidRPr="00C4498C">
        <w:rPr>
          <w:rFonts w:ascii="Calibri" w:eastAsia="Aptos" w:hAnsi="Calibri" w:cs="Calibri"/>
          <w:kern w:val="0"/>
          <w:sz w:val="22"/>
          <w:szCs w:val="22"/>
          <w14:ligatures w14:val="none"/>
        </w:rPr>
        <w:t xml:space="preserve"> : Poids_th = Effectif_strate / Navires_échantillonnés. Exemple : 100 navires, 10 enquêtés → poids = 10 (chaque enquêté représente 10 navires).</w:t>
      </w:r>
    </w:p>
    <w:p w14:paraId="674ED038" w14:textId="77777777" w:rsidR="00C4498C" w:rsidRPr="00C4498C" w:rsidRDefault="00C4498C" w:rsidP="00C4498C">
      <w:pPr>
        <w:spacing w:line="259" w:lineRule="auto"/>
        <w:jc w:val="both"/>
        <w:rPr>
          <w:rFonts w:ascii="Calibri" w:eastAsia="Aptos" w:hAnsi="Calibri" w:cs="Calibri"/>
          <w:kern w:val="0"/>
          <w:sz w:val="22"/>
          <w:szCs w:val="22"/>
          <w14:ligatures w14:val="none"/>
        </w:rPr>
      </w:pPr>
      <w:r w:rsidRPr="00C4498C">
        <w:rPr>
          <w:rFonts w:ascii="Calibri" w:eastAsia="Aptos" w:hAnsi="Calibri" w:cs="Calibri"/>
          <w:b/>
          <w:bCs/>
          <w:kern w:val="0"/>
          <w:sz w:val="22"/>
          <w:szCs w:val="22"/>
          <w14:ligatures w14:val="none"/>
        </w:rPr>
        <w:t>Poids corrigés</w:t>
      </w:r>
      <w:r w:rsidRPr="00C4498C">
        <w:rPr>
          <w:rFonts w:ascii="Calibri" w:eastAsia="Aptos" w:hAnsi="Calibri" w:cs="Calibri"/>
          <w:kern w:val="0"/>
          <w:sz w:val="22"/>
          <w:szCs w:val="22"/>
          <w14:ligatures w14:val="none"/>
        </w:rPr>
        <w:t xml:space="preserve"> : Poids_corr = Poids_th / Taux_réponse. Compense la non-réponse en augmentant le poids des répondants. Exemple : poids théorique 10, taux de réponse 70% → poids corrigé = 14,3.</w:t>
      </w:r>
    </w:p>
    <w:p w14:paraId="5596CFD5" w14:textId="77777777" w:rsidR="00C4498C" w:rsidRPr="00C4498C" w:rsidRDefault="00C4498C" w:rsidP="00C4498C">
      <w:pPr>
        <w:spacing w:line="259" w:lineRule="auto"/>
        <w:jc w:val="both"/>
        <w:rPr>
          <w:rFonts w:ascii="Calibri" w:eastAsia="Aptos" w:hAnsi="Calibri" w:cs="Calibri"/>
          <w:kern w:val="0"/>
          <w:sz w:val="22"/>
          <w:szCs w:val="22"/>
          <w14:ligatures w14:val="none"/>
        </w:rPr>
      </w:pPr>
      <w:r w:rsidRPr="00C4498C">
        <w:rPr>
          <w:rFonts w:ascii="Calibri" w:eastAsia="Aptos" w:hAnsi="Calibri" w:cs="Calibri"/>
          <w:b/>
          <w:bCs/>
          <w:kern w:val="0"/>
          <w:sz w:val="22"/>
          <w:szCs w:val="22"/>
          <w14:ligatures w14:val="none"/>
        </w:rPr>
        <w:t>Bilan</w:t>
      </w:r>
      <w:r w:rsidRPr="00C4498C">
        <w:rPr>
          <w:rFonts w:ascii="Calibri" w:eastAsia="Aptos" w:hAnsi="Calibri" w:cs="Calibri"/>
          <w:kern w:val="0"/>
          <w:sz w:val="22"/>
          <w:szCs w:val="22"/>
          <w14:ligatures w14:val="none"/>
        </w:rPr>
        <w:t xml:space="preserve"> : (N - Σ poids corrigés) = navires non représentés. Pourcentage élevé (&gt;20%) → problème de représentativité.</w:t>
      </w:r>
    </w:p>
    <w:p w14:paraId="15AFEFE7" w14:textId="77777777" w:rsidR="00C4498C" w:rsidRPr="00C4498C" w:rsidRDefault="00C4498C" w:rsidP="00C4498C">
      <w:pPr>
        <w:spacing w:line="259" w:lineRule="auto"/>
        <w:jc w:val="both"/>
        <w:rPr>
          <w:rFonts w:ascii="Calibri" w:eastAsia="Aptos" w:hAnsi="Calibri" w:cs="Calibri"/>
          <w:b/>
          <w:bCs/>
          <w:kern w:val="0"/>
          <w:sz w:val="22"/>
          <w:szCs w:val="22"/>
          <w14:ligatures w14:val="none"/>
        </w:rPr>
      </w:pPr>
      <w:r w:rsidRPr="00C4498C">
        <w:rPr>
          <w:rFonts w:ascii="Calibri" w:eastAsia="Aptos" w:hAnsi="Calibri" w:cs="Calibri"/>
          <w:b/>
          <w:bCs/>
          <w:kern w:val="0"/>
          <w:sz w:val="22"/>
          <w:szCs w:val="22"/>
          <w14:ligatures w14:val="none"/>
        </w:rPr>
        <w:t>3. Indicateurs de Fréquentation</w:t>
      </w:r>
    </w:p>
    <w:p w14:paraId="19933C60" w14:textId="77777777" w:rsidR="00C4498C" w:rsidRPr="00C4498C" w:rsidRDefault="00C4498C" w:rsidP="00C4498C">
      <w:pPr>
        <w:spacing w:line="259" w:lineRule="auto"/>
        <w:jc w:val="both"/>
        <w:rPr>
          <w:rFonts w:ascii="Calibri" w:eastAsia="Aptos" w:hAnsi="Calibri" w:cs="Calibri"/>
          <w:kern w:val="0"/>
          <w:sz w:val="22"/>
          <w:szCs w:val="22"/>
          <w14:ligatures w14:val="none"/>
        </w:rPr>
      </w:pPr>
      <w:r w:rsidRPr="00C4498C">
        <w:rPr>
          <w:rFonts w:ascii="Calibri" w:eastAsia="Aptos" w:hAnsi="Calibri" w:cs="Calibri"/>
          <w:b/>
          <w:bCs/>
          <w:kern w:val="0"/>
          <w:sz w:val="22"/>
          <w:szCs w:val="22"/>
          <w14:ligatures w14:val="none"/>
        </w:rPr>
        <w:t>Zone d'étude</w:t>
      </w:r>
      <w:r w:rsidRPr="00C4498C">
        <w:rPr>
          <w:rFonts w:ascii="Calibri" w:eastAsia="Aptos" w:hAnsi="Calibri" w:cs="Calibri"/>
          <w:kern w:val="0"/>
          <w:sz w:val="22"/>
          <w:szCs w:val="22"/>
          <w14:ligatures w14:val="none"/>
        </w:rPr>
        <w:t xml:space="preserve"> : Ensemble de mailles géographiques. Estimation de </w:t>
      </w:r>
      <w:r w:rsidRPr="00C4498C">
        <w:rPr>
          <w:rFonts w:ascii="Calibri" w:eastAsia="Aptos" w:hAnsi="Calibri" w:cs="Calibri"/>
          <w:b/>
          <w:bCs/>
          <w:kern w:val="0"/>
          <w:sz w:val="22"/>
          <w:szCs w:val="22"/>
          <w14:ligatures w14:val="none"/>
        </w:rPr>
        <w:t>N_ZE</w:t>
      </w:r>
      <w:r w:rsidRPr="00C4498C">
        <w:rPr>
          <w:rFonts w:ascii="Calibri" w:eastAsia="Aptos" w:hAnsi="Calibri" w:cs="Calibri"/>
          <w:kern w:val="0"/>
          <w:sz w:val="22"/>
          <w:szCs w:val="22"/>
          <w14:ligatures w14:val="none"/>
        </w:rPr>
        <w:t xml:space="preserve"> (nombre de navires fréquentant la zone) via les poids corrigés.</w:t>
      </w:r>
    </w:p>
    <w:p w14:paraId="407FDEFB" w14:textId="77777777" w:rsidR="00C4498C" w:rsidRPr="00C4498C" w:rsidRDefault="00C4498C" w:rsidP="00C4498C">
      <w:pPr>
        <w:spacing w:line="259" w:lineRule="auto"/>
        <w:jc w:val="both"/>
        <w:rPr>
          <w:rFonts w:ascii="Calibri" w:eastAsia="Aptos" w:hAnsi="Calibri" w:cs="Calibri"/>
          <w:b/>
          <w:bCs/>
          <w:kern w:val="0"/>
          <w:sz w:val="22"/>
          <w:szCs w:val="22"/>
          <w14:ligatures w14:val="none"/>
        </w:rPr>
      </w:pPr>
      <w:r w:rsidRPr="00C4498C">
        <w:rPr>
          <w:rFonts w:ascii="Calibri" w:eastAsia="Aptos" w:hAnsi="Calibri" w:cs="Calibri"/>
          <w:b/>
          <w:bCs/>
          <w:kern w:val="0"/>
          <w:sz w:val="22"/>
          <w:szCs w:val="22"/>
          <w14:ligatures w14:val="none"/>
        </w:rPr>
        <w:t>Quatre indicateurs par maille :</w:t>
      </w:r>
    </w:p>
    <w:p w14:paraId="049A0E31" w14:textId="77777777" w:rsidR="00C4498C" w:rsidRPr="00C4498C" w:rsidRDefault="00C4498C" w:rsidP="00C4498C">
      <w:pPr>
        <w:spacing w:line="259" w:lineRule="auto"/>
        <w:jc w:val="both"/>
        <w:rPr>
          <w:rFonts w:ascii="Calibri" w:eastAsia="Aptos" w:hAnsi="Calibri" w:cs="Calibri"/>
          <w:kern w:val="0"/>
          <w:sz w:val="22"/>
          <w:szCs w:val="22"/>
          <w14:ligatures w14:val="none"/>
        </w:rPr>
      </w:pPr>
      <w:r w:rsidRPr="00C4498C">
        <w:rPr>
          <w:rFonts w:ascii="Calibri" w:eastAsia="Aptos" w:hAnsi="Calibri" w:cs="Calibri"/>
          <w:b/>
          <w:bCs/>
          <w:kern w:val="0"/>
          <w:sz w:val="22"/>
          <w:szCs w:val="22"/>
          <w14:ligatures w14:val="none"/>
        </w:rPr>
        <w:t>ID (Indice de Densité)</w:t>
      </w:r>
      <w:r w:rsidRPr="00C4498C">
        <w:rPr>
          <w:rFonts w:ascii="Calibri" w:eastAsia="Aptos" w:hAnsi="Calibri" w:cs="Calibri"/>
          <w:kern w:val="0"/>
          <w:sz w:val="22"/>
          <w:szCs w:val="22"/>
          <w14:ligatures w14:val="none"/>
        </w:rPr>
        <w:t xml:space="preserve"> = (Navires ayant fréquenté la maille × 100) / N</w:t>
      </w:r>
    </w:p>
    <w:p w14:paraId="251F1A76" w14:textId="77777777" w:rsidR="00C4498C" w:rsidRPr="00C4498C" w:rsidRDefault="00C4498C" w:rsidP="00C4498C">
      <w:pPr>
        <w:numPr>
          <w:ilvl w:val="0"/>
          <w:numId w:val="2"/>
        </w:numPr>
        <w:spacing w:line="259" w:lineRule="auto"/>
        <w:jc w:val="both"/>
        <w:rPr>
          <w:rFonts w:ascii="Calibri" w:eastAsia="Aptos" w:hAnsi="Calibri" w:cs="Calibri"/>
          <w:kern w:val="0"/>
          <w:sz w:val="22"/>
          <w:szCs w:val="22"/>
          <w14:ligatures w14:val="none"/>
        </w:rPr>
      </w:pPr>
      <w:r w:rsidRPr="00C4498C">
        <w:rPr>
          <w:rFonts w:ascii="Calibri" w:eastAsia="Aptos" w:hAnsi="Calibri" w:cs="Calibri"/>
          <w:kern w:val="0"/>
          <w:sz w:val="22"/>
          <w:szCs w:val="22"/>
          <w14:ligatures w14:val="none"/>
        </w:rPr>
        <w:t>% de la flotte ayant visité la maille au moins une fois</w:t>
      </w:r>
    </w:p>
    <w:p w14:paraId="3546DE3C" w14:textId="77777777" w:rsidR="00C4498C" w:rsidRPr="00C4498C" w:rsidRDefault="00C4498C" w:rsidP="00C4498C">
      <w:pPr>
        <w:numPr>
          <w:ilvl w:val="0"/>
          <w:numId w:val="2"/>
        </w:numPr>
        <w:spacing w:line="259" w:lineRule="auto"/>
        <w:jc w:val="both"/>
        <w:rPr>
          <w:rFonts w:ascii="Calibri" w:eastAsia="Aptos" w:hAnsi="Calibri" w:cs="Calibri"/>
          <w:kern w:val="0"/>
          <w:sz w:val="22"/>
          <w:szCs w:val="22"/>
          <w14:ligatures w14:val="none"/>
        </w:rPr>
      </w:pPr>
      <w:r w:rsidRPr="00C4498C">
        <w:rPr>
          <w:rFonts w:ascii="Calibri" w:eastAsia="Aptos" w:hAnsi="Calibri" w:cs="Calibri"/>
          <w:kern w:val="0"/>
          <w:sz w:val="22"/>
          <w:szCs w:val="22"/>
          <w14:ligatures w14:val="none"/>
        </w:rPr>
        <w:t>ID élevé = zone très fréquentée par nombreux navires</w:t>
      </w:r>
    </w:p>
    <w:p w14:paraId="7AC87491" w14:textId="77777777" w:rsidR="00C4498C" w:rsidRPr="00C4498C" w:rsidRDefault="00C4498C" w:rsidP="00C4498C">
      <w:pPr>
        <w:spacing w:line="259" w:lineRule="auto"/>
        <w:jc w:val="both"/>
        <w:rPr>
          <w:rFonts w:ascii="Calibri" w:eastAsia="Aptos" w:hAnsi="Calibri" w:cs="Calibri"/>
          <w:kern w:val="0"/>
          <w:sz w:val="22"/>
          <w:szCs w:val="22"/>
          <w14:ligatures w14:val="none"/>
        </w:rPr>
      </w:pPr>
      <w:r w:rsidRPr="00C4498C">
        <w:rPr>
          <w:rFonts w:ascii="Calibri" w:eastAsia="Aptos" w:hAnsi="Calibri" w:cs="Calibri"/>
          <w:b/>
          <w:bCs/>
          <w:kern w:val="0"/>
          <w:sz w:val="22"/>
          <w:szCs w:val="22"/>
          <w14:ligatures w14:val="none"/>
        </w:rPr>
        <w:t>II (Indice d'Intensité)</w:t>
      </w:r>
      <w:r w:rsidRPr="00C4498C">
        <w:rPr>
          <w:rFonts w:ascii="Calibri" w:eastAsia="Aptos" w:hAnsi="Calibri" w:cs="Calibri"/>
          <w:kern w:val="0"/>
          <w:sz w:val="22"/>
          <w:szCs w:val="22"/>
          <w14:ligatures w14:val="none"/>
        </w:rPr>
        <w:t xml:space="preserve"> = (Navires-mois × 100) / (N × 12)</w:t>
      </w:r>
    </w:p>
    <w:p w14:paraId="772CD788" w14:textId="77777777" w:rsidR="00C4498C" w:rsidRPr="00C4498C" w:rsidRDefault="00C4498C" w:rsidP="00C4498C">
      <w:pPr>
        <w:numPr>
          <w:ilvl w:val="0"/>
          <w:numId w:val="3"/>
        </w:numPr>
        <w:spacing w:line="259" w:lineRule="auto"/>
        <w:jc w:val="both"/>
        <w:rPr>
          <w:rFonts w:ascii="Calibri" w:eastAsia="Aptos" w:hAnsi="Calibri" w:cs="Calibri"/>
          <w:kern w:val="0"/>
          <w:sz w:val="22"/>
          <w:szCs w:val="22"/>
          <w14:ligatures w14:val="none"/>
        </w:rPr>
      </w:pPr>
      <w:r w:rsidRPr="00C4498C">
        <w:rPr>
          <w:rFonts w:ascii="Calibri" w:eastAsia="Aptos" w:hAnsi="Calibri" w:cs="Calibri"/>
          <w:kern w:val="0"/>
          <w:sz w:val="22"/>
          <w:szCs w:val="22"/>
          <w14:ligatures w14:val="none"/>
        </w:rPr>
        <w:t>% d'activité mensuelle de la flotte dans la maille</w:t>
      </w:r>
    </w:p>
    <w:p w14:paraId="0E557C2A" w14:textId="77777777" w:rsidR="00C4498C" w:rsidRPr="00C4498C" w:rsidRDefault="00C4498C" w:rsidP="00C4498C">
      <w:pPr>
        <w:numPr>
          <w:ilvl w:val="0"/>
          <w:numId w:val="3"/>
        </w:numPr>
        <w:spacing w:line="259" w:lineRule="auto"/>
        <w:jc w:val="both"/>
        <w:rPr>
          <w:rFonts w:ascii="Calibri" w:eastAsia="Aptos" w:hAnsi="Calibri" w:cs="Calibri"/>
          <w:kern w:val="0"/>
          <w:sz w:val="22"/>
          <w:szCs w:val="22"/>
          <w14:ligatures w14:val="none"/>
        </w:rPr>
      </w:pPr>
      <w:r w:rsidRPr="00C4498C">
        <w:rPr>
          <w:rFonts w:ascii="Calibri" w:eastAsia="Aptos" w:hAnsi="Calibri" w:cs="Calibri"/>
          <w:kern w:val="0"/>
          <w:sz w:val="22"/>
          <w:szCs w:val="22"/>
          <w14:ligatures w14:val="none"/>
        </w:rPr>
        <w:t>Combine nombre de navires et durée de fréquentation</w:t>
      </w:r>
    </w:p>
    <w:p w14:paraId="0088FF33" w14:textId="77777777" w:rsidR="00C4498C" w:rsidRPr="00C4498C" w:rsidRDefault="00C4498C" w:rsidP="00C4498C">
      <w:pPr>
        <w:spacing w:line="259" w:lineRule="auto"/>
        <w:jc w:val="both"/>
        <w:rPr>
          <w:rFonts w:ascii="Calibri" w:eastAsia="Aptos" w:hAnsi="Calibri" w:cs="Calibri"/>
          <w:kern w:val="0"/>
          <w:sz w:val="22"/>
          <w:szCs w:val="22"/>
          <w14:ligatures w14:val="none"/>
        </w:rPr>
      </w:pPr>
      <w:r w:rsidRPr="00C4498C">
        <w:rPr>
          <w:rFonts w:ascii="Calibri" w:eastAsia="Aptos" w:hAnsi="Calibri" w:cs="Calibri"/>
          <w:b/>
          <w:bCs/>
          <w:kern w:val="0"/>
          <w:sz w:val="22"/>
          <w:szCs w:val="22"/>
          <w14:ligatures w14:val="none"/>
        </w:rPr>
        <w:t>IDS (Indice de Dépendance Spatiale)</w:t>
      </w:r>
      <w:r w:rsidRPr="00C4498C">
        <w:rPr>
          <w:rFonts w:ascii="Calibri" w:eastAsia="Aptos" w:hAnsi="Calibri" w:cs="Calibri"/>
          <w:kern w:val="0"/>
          <w:sz w:val="22"/>
          <w:szCs w:val="22"/>
          <w14:ligatures w14:val="none"/>
        </w:rPr>
        <w:t xml:space="preserve"> = Moyenne de (1/nb mailles par navire) × 100</w:t>
      </w:r>
    </w:p>
    <w:p w14:paraId="22B2F3E3" w14:textId="77777777" w:rsidR="00C4498C" w:rsidRPr="00C4498C" w:rsidRDefault="00C4498C" w:rsidP="00C4498C">
      <w:pPr>
        <w:numPr>
          <w:ilvl w:val="0"/>
          <w:numId w:val="4"/>
        </w:numPr>
        <w:spacing w:line="259" w:lineRule="auto"/>
        <w:jc w:val="both"/>
        <w:rPr>
          <w:rFonts w:ascii="Calibri" w:eastAsia="Aptos" w:hAnsi="Calibri" w:cs="Calibri"/>
          <w:kern w:val="0"/>
          <w:sz w:val="22"/>
          <w:szCs w:val="22"/>
          <w14:ligatures w14:val="none"/>
        </w:rPr>
      </w:pPr>
      <w:r w:rsidRPr="00C4498C">
        <w:rPr>
          <w:rFonts w:ascii="Calibri" w:eastAsia="Aptos" w:hAnsi="Calibri" w:cs="Calibri"/>
          <w:kern w:val="0"/>
          <w:sz w:val="22"/>
          <w:szCs w:val="22"/>
          <w14:ligatures w14:val="none"/>
        </w:rPr>
        <w:t>Mesure la concentration spatiale</w:t>
      </w:r>
    </w:p>
    <w:p w14:paraId="46431352" w14:textId="77777777" w:rsidR="00C4498C" w:rsidRPr="00C4498C" w:rsidRDefault="00C4498C" w:rsidP="00C4498C">
      <w:pPr>
        <w:numPr>
          <w:ilvl w:val="0"/>
          <w:numId w:val="4"/>
        </w:numPr>
        <w:spacing w:line="259" w:lineRule="auto"/>
        <w:jc w:val="both"/>
        <w:rPr>
          <w:rFonts w:ascii="Calibri" w:eastAsia="Aptos" w:hAnsi="Calibri" w:cs="Calibri"/>
          <w:kern w:val="0"/>
          <w:sz w:val="22"/>
          <w:szCs w:val="22"/>
          <w14:ligatures w14:val="none"/>
        </w:rPr>
      </w:pPr>
      <w:r w:rsidRPr="00C4498C">
        <w:rPr>
          <w:rFonts w:ascii="Calibri" w:eastAsia="Aptos" w:hAnsi="Calibri" w:cs="Calibri"/>
          <w:kern w:val="0"/>
          <w:sz w:val="22"/>
          <w:szCs w:val="22"/>
          <w14:ligatures w14:val="none"/>
        </w:rPr>
        <w:t>IDS élevé = navires concentrent leur activité dans cette maille</w:t>
      </w:r>
    </w:p>
    <w:p w14:paraId="16491D8D" w14:textId="77777777" w:rsidR="00C4498C" w:rsidRPr="00C4498C" w:rsidRDefault="00C4498C" w:rsidP="00C4498C">
      <w:pPr>
        <w:spacing w:line="259" w:lineRule="auto"/>
        <w:jc w:val="both"/>
        <w:rPr>
          <w:rFonts w:ascii="Calibri" w:eastAsia="Aptos" w:hAnsi="Calibri" w:cs="Calibri"/>
          <w:kern w:val="0"/>
          <w:sz w:val="22"/>
          <w:szCs w:val="22"/>
          <w14:ligatures w14:val="none"/>
        </w:rPr>
      </w:pPr>
      <w:r w:rsidRPr="00C4498C">
        <w:rPr>
          <w:rFonts w:ascii="Calibri" w:eastAsia="Aptos" w:hAnsi="Calibri" w:cs="Calibri"/>
          <w:b/>
          <w:bCs/>
          <w:kern w:val="0"/>
          <w:sz w:val="22"/>
          <w:szCs w:val="22"/>
          <w14:ligatures w14:val="none"/>
        </w:rPr>
        <w:t>IDI (Indice de Dépendance Temporelle)</w:t>
      </w:r>
      <w:r w:rsidRPr="00C4498C">
        <w:rPr>
          <w:rFonts w:ascii="Calibri" w:eastAsia="Aptos" w:hAnsi="Calibri" w:cs="Calibri"/>
          <w:kern w:val="0"/>
          <w:sz w:val="22"/>
          <w:szCs w:val="22"/>
          <w14:ligatures w14:val="none"/>
        </w:rPr>
        <w:t xml:space="preserve"> = Moyenne de (mois maille/mois totaux) × 100</w:t>
      </w:r>
    </w:p>
    <w:p w14:paraId="0DFF6379" w14:textId="7A9CA7AD" w:rsidR="00C4498C" w:rsidRPr="00C4498C" w:rsidRDefault="00C4498C" w:rsidP="00C4498C">
      <w:pPr>
        <w:spacing w:line="259" w:lineRule="auto"/>
        <w:jc w:val="both"/>
        <w:rPr>
          <w:rFonts w:ascii="Calibri" w:eastAsia="Aptos" w:hAnsi="Calibri" w:cs="Calibri"/>
          <w:kern w:val="0"/>
          <w:sz w:val="22"/>
          <w:szCs w:val="22"/>
          <w14:ligatures w14:val="none"/>
        </w:rPr>
      </w:pPr>
      <w:r w:rsidRPr="00C4498C">
        <w:rPr>
          <w:rFonts w:ascii="Calibri" w:eastAsia="Aptos" w:hAnsi="Calibri" w:cs="Calibri"/>
          <w:kern w:val="0"/>
          <w:sz w:val="22"/>
          <w:szCs w:val="22"/>
          <w14:ligatures w14:val="none"/>
        </w:rPr>
        <w:t xml:space="preserve">Mesure la régularité de </w:t>
      </w:r>
      <w:r w:rsidR="0084096A" w:rsidRPr="00C4498C">
        <w:rPr>
          <w:rFonts w:ascii="Calibri" w:eastAsia="Aptos" w:hAnsi="Calibri" w:cs="Calibri"/>
          <w:kern w:val="0"/>
          <w:sz w:val="22"/>
          <w:szCs w:val="22"/>
          <w14:ligatures w14:val="none"/>
        </w:rPr>
        <w:t>fréquentation &amp;</w:t>
      </w:r>
      <w:r w:rsidRPr="00C4498C">
        <w:rPr>
          <w:rFonts w:ascii="Calibri" w:eastAsia="Aptos" w:hAnsi="Calibri" w:cs="Calibri"/>
          <w:kern w:val="0"/>
          <w:sz w:val="22"/>
          <w:szCs w:val="22"/>
          <w14:ligatures w14:val="none"/>
        </w:rPr>
        <w:t xml:space="preserve">   IDI élevé = fréquentation régulière sur l'année</w:t>
      </w:r>
    </w:p>
    <w:p w14:paraId="1997C3BE" w14:textId="77777777" w:rsidR="00C4498C" w:rsidRPr="00C4498C" w:rsidRDefault="00C4498C" w:rsidP="00C4498C">
      <w:pPr>
        <w:spacing w:line="259" w:lineRule="auto"/>
        <w:jc w:val="both"/>
        <w:rPr>
          <w:rFonts w:ascii="Calibri" w:eastAsia="Aptos" w:hAnsi="Calibri" w:cs="Calibri"/>
          <w:kern w:val="0"/>
          <w:sz w:val="22"/>
          <w:szCs w:val="22"/>
          <w14:ligatures w14:val="none"/>
        </w:rPr>
      </w:pPr>
      <w:r w:rsidRPr="00C4498C">
        <w:rPr>
          <w:rFonts w:ascii="Calibri" w:eastAsia="Aptos" w:hAnsi="Calibri" w:cs="Calibri"/>
          <w:b/>
          <w:bCs/>
          <w:kern w:val="0"/>
          <w:sz w:val="22"/>
          <w:szCs w:val="22"/>
          <w14:ligatures w14:val="none"/>
        </w:rPr>
        <w:t>Intervalles de confiance</w:t>
      </w:r>
      <w:r w:rsidRPr="00C4498C">
        <w:rPr>
          <w:rFonts w:ascii="Calibri" w:eastAsia="Aptos" w:hAnsi="Calibri" w:cs="Calibri"/>
          <w:kern w:val="0"/>
          <w:sz w:val="22"/>
          <w:szCs w:val="22"/>
          <w14:ligatures w14:val="none"/>
        </w:rPr>
        <w:t xml:space="preserve"> : Calculés pour ID et II avec ±10% de précision (ex : ID=35% → [25</w:t>
      </w:r>
      <w:proofErr w:type="gramStart"/>
      <w:r w:rsidRPr="00C4498C">
        <w:rPr>
          <w:rFonts w:ascii="Calibri" w:eastAsia="Aptos" w:hAnsi="Calibri" w:cs="Calibri"/>
          <w:kern w:val="0"/>
          <w:sz w:val="22"/>
          <w:szCs w:val="22"/>
          <w14:ligatures w14:val="none"/>
        </w:rPr>
        <w:t>%;</w:t>
      </w:r>
      <w:proofErr w:type="gramEnd"/>
      <w:r w:rsidRPr="00C4498C">
        <w:rPr>
          <w:rFonts w:ascii="Calibri" w:eastAsia="Aptos" w:hAnsi="Calibri" w:cs="Calibri"/>
          <w:kern w:val="0"/>
          <w:sz w:val="22"/>
          <w:szCs w:val="22"/>
          <w14:ligatures w14:val="none"/>
        </w:rPr>
        <w:t>45%]).</w:t>
      </w:r>
    </w:p>
    <w:p w14:paraId="6E3D1EFF" w14:textId="77777777" w:rsidR="00C4498C" w:rsidRDefault="00C4498C" w:rsidP="00C4498C">
      <w:pPr>
        <w:spacing w:line="259" w:lineRule="auto"/>
        <w:jc w:val="both"/>
        <w:rPr>
          <w:rFonts w:ascii="Calibri" w:eastAsia="Aptos" w:hAnsi="Calibri" w:cs="Calibri"/>
          <w:kern w:val="0"/>
          <w:sz w:val="22"/>
          <w:szCs w:val="22"/>
          <w14:ligatures w14:val="none"/>
        </w:rPr>
      </w:pPr>
      <w:r w:rsidRPr="00C4498C">
        <w:rPr>
          <w:rFonts w:ascii="Calibri" w:eastAsia="Aptos" w:hAnsi="Calibri" w:cs="Calibri"/>
          <w:b/>
          <w:bCs/>
          <w:kern w:val="0"/>
          <w:sz w:val="22"/>
          <w:szCs w:val="22"/>
          <w14:ligatures w14:val="none"/>
        </w:rPr>
        <w:lastRenderedPageBreak/>
        <w:t>Cartographie</w:t>
      </w:r>
      <w:r w:rsidRPr="00C4498C">
        <w:rPr>
          <w:rFonts w:ascii="Calibri" w:eastAsia="Aptos" w:hAnsi="Calibri" w:cs="Calibri"/>
          <w:kern w:val="0"/>
          <w:sz w:val="22"/>
          <w:szCs w:val="22"/>
          <w14:ligatures w14:val="none"/>
        </w:rPr>
        <w:t xml:space="preserve"> : Les résultats sont cartographiés avec une </w:t>
      </w:r>
      <w:r w:rsidRPr="00C4498C">
        <w:rPr>
          <w:rFonts w:ascii="Calibri" w:eastAsia="Aptos" w:hAnsi="Calibri" w:cs="Calibri"/>
          <w:b/>
          <w:bCs/>
          <w:kern w:val="0"/>
          <w:sz w:val="22"/>
          <w:szCs w:val="22"/>
          <w14:ligatures w14:val="none"/>
        </w:rPr>
        <w:t>discrétisation en 5 classes</w:t>
      </w:r>
      <w:r w:rsidRPr="00C4498C">
        <w:rPr>
          <w:rFonts w:ascii="Calibri" w:eastAsia="Aptos" w:hAnsi="Calibri" w:cs="Calibri"/>
          <w:kern w:val="0"/>
          <w:sz w:val="22"/>
          <w:szCs w:val="22"/>
          <w14:ligatures w14:val="none"/>
        </w:rPr>
        <w:t xml:space="preserve"> (méthode de Fisher-Jenks) pour chaque indicateur. Deux types de cartes sont produites : estimations ponctuelles seules, et estimations avec intervalles de confiance affichés sur chaque maille. Cette visualisation permet d'identifier rapidement les zones les plus fréquentées, les plus importantes pour la flotte, et d'évaluer la fiabilité spatiale des estimations.</w:t>
      </w:r>
    </w:p>
    <w:p w14:paraId="43C506D1" w14:textId="77777777" w:rsidR="0084096A" w:rsidRDefault="0084096A" w:rsidP="00C4498C">
      <w:pPr>
        <w:spacing w:line="259" w:lineRule="auto"/>
        <w:jc w:val="both"/>
        <w:rPr>
          <w:rFonts w:ascii="Calibri" w:eastAsia="Aptos" w:hAnsi="Calibri" w:cs="Calibri"/>
          <w:kern w:val="0"/>
          <w:sz w:val="22"/>
          <w:szCs w:val="22"/>
          <w14:ligatures w14:val="none"/>
        </w:rPr>
      </w:pPr>
    </w:p>
    <w:p w14:paraId="7E39EBDD" w14:textId="1E6E839F" w:rsidR="0084096A" w:rsidRDefault="0084096A" w:rsidP="0084096A">
      <w:pPr>
        <w:rPr>
          <w:rFonts w:ascii="Calibri" w:eastAsiaTheme="majorEastAsia" w:hAnsi="Calibri" w:cstheme="majorBidi"/>
          <w:b/>
          <w:color w:val="156082" w:themeColor="accent1"/>
          <w:sz w:val="36"/>
          <w:szCs w:val="40"/>
          <w:u w:val="single"/>
        </w:rPr>
      </w:pPr>
      <w:r>
        <w:rPr>
          <w:rFonts w:ascii="Calibri" w:eastAsiaTheme="majorEastAsia" w:hAnsi="Calibri" w:cstheme="majorBidi"/>
          <w:b/>
          <w:color w:val="156082" w:themeColor="accent1"/>
          <w:sz w:val="36"/>
          <w:szCs w:val="40"/>
          <w:u w:val="single"/>
        </w:rPr>
        <w:t>Construction du PE et impact</w:t>
      </w:r>
    </w:p>
    <w:p w14:paraId="233ED477" w14:textId="77777777" w:rsidR="0084096A" w:rsidRDefault="0084096A" w:rsidP="0084096A">
      <w:pPr>
        <w:spacing w:after="0" w:line="259" w:lineRule="auto"/>
        <w:rPr>
          <w:rFonts w:ascii="Calibri" w:eastAsia="Calibri" w:hAnsi="Calibri" w:cs="Times New Roman"/>
          <w:b/>
          <w:bCs/>
          <w:kern w:val="0"/>
          <w:sz w:val="22"/>
          <w:szCs w:val="22"/>
          <w14:ligatures w14:val="none"/>
        </w:rPr>
      </w:pPr>
    </w:p>
    <w:p w14:paraId="0A6E6904" w14:textId="652DA5CF" w:rsidR="0084096A" w:rsidRDefault="0084096A" w:rsidP="0084096A">
      <w:pPr>
        <w:spacing w:after="0" w:line="259" w:lineRule="auto"/>
        <w:rPr>
          <w:rFonts w:ascii="Calibri" w:eastAsia="Calibri" w:hAnsi="Calibri" w:cs="Times New Roman"/>
          <w:b/>
          <w:bCs/>
          <w:kern w:val="0"/>
          <w:sz w:val="22"/>
          <w:szCs w:val="22"/>
          <w14:ligatures w14:val="none"/>
        </w:rPr>
      </w:pPr>
      <w:r w:rsidRPr="0084096A">
        <w:rPr>
          <w:rFonts w:ascii="Calibri" w:eastAsia="Calibri" w:hAnsi="Calibri" w:cs="Times New Roman"/>
          <w:b/>
          <w:bCs/>
          <w:kern w:val="0"/>
          <w:sz w:val="22"/>
          <w:szCs w:val="22"/>
          <w14:ligatures w14:val="none"/>
        </w:rPr>
        <w:t>1. Objectif et Population</w:t>
      </w:r>
    </w:p>
    <w:p w14:paraId="4CD1F7E6" w14:textId="77777777" w:rsidR="0084096A" w:rsidRPr="0084096A" w:rsidRDefault="0084096A" w:rsidP="0084096A">
      <w:pPr>
        <w:spacing w:after="0" w:line="259" w:lineRule="auto"/>
        <w:rPr>
          <w:rFonts w:ascii="Calibri" w:eastAsia="Calibri" w:hAnsi="Calibri" w:cs="Times New Roman"/>
          <w:b/>
          <w:bCs/>
          <w:kern w:val="0"/>
          <w:sz w:val="22"/>
          <w:szCs w:val="22"/>
          <w14:ligatures w14:val="none"/>
        </w:rPr>
      </w:pPr>
    </w:p>
    <w:p w14:paraId="48BF70A8" w14:textId="61B0076B" w:rsidR="0084096A" w:rsidRDefault="0084096A" w:rsidP="008409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 xml:space="preserve">L’objectif de cette analyse est de définir la taille d’échantillon optimale afin d’enquêter la flotte de 920 navires actifs en Bretagne. Le script R compare une approche théorique à deux autres stratégies de stratification ("Regroupement 1" et "Regroupement 2"), en jouant sur </w:t>
      </w:r>
      <w:r w:rsidRPr="0084096A">
        <w:rPr>
          <w:rFonts w:ascii="Calibri" w:eastAsia="Calibri" w:hAnsi="Calibri" w:cs="Times New Roman"/>
          <w:kern w:val="0"/>
          <w:sz w:val="22"/>
          <w:szCs w:val="22"/>
          <w14:ligatures w14:val="none"/>
        </w:rPr>
        <w:t>le nombre</w:t>
      </w:r>
      <w:r w:rsidRPr="0084096A">
        <w:rPr>
          <w:rFonts w:ascii="Calibri" w:eastAsia="Calibri" w:hAnsi="Calibri" w:cs="Times New Roman"/>
          <w:kern w:val="0"/>
          <w:sz w:val="22"/>
          <w:szCs w:val="22"/>
          <w14:ligatures w14:val="none"/>
        </w:rPr>
        <w:t xml:space="preserve"> de navires et la précision de l’enquête.</w:t>
      </w:r>
    </w:p>
    <w:p w14:paraId="38E02692" w14:textId="77777777" w:rsidR="0084096A" w:rsidRPr="0084096A" w:rsidRDefault="0084096A" w:rsidP="0084096A">
      <w:pPr>
        <w:spacing w:after="0" w:line="259" w:lineRule="auto"/>
        <w:rPr>
          <w:rFonts w:ascii="Calibri" w:eastAsia="Calibri" w:hAnsi="Calibri" w:cs="Times New Roman"/>
          <w:kern w:val="0"/>
          <w:sz w:val="22"/>
          <w:szCs w:val="22"/>
          <w14:ligatures w14:val="none"/>
        </w:rPr>
      </w:pPr>
    </w:p>
    <w:p w14:paraId="7351AB54" w14:textId="77777777" w:rsidR="0084096A" w:rsidRDefault="0084096A" w:rsidP="0084096A">
      <w:pPr>
        <w:spacing w:after="0" w:line="259" w:lineRule="auto"/>
        <w:rPr>
          <w:rFonts w:ascii="Calibri" w:eastAsia="Calibri" w:hAnsi="Calibri" w:cs="Times New Roman"/>
          <w:b/>
          <w:bCs/>
          <w:kern w:val="0"/>
          <w:sz w:val="22"/>
          <w:szCs w:val="22"/>
          <w14:ligatures w14:val="none"/>
        </w:rPr>
      </w:pPr>
      <w:r w:rsidRPr="0084096A">
        <w:rPr>
          <w:rFonts w:ascii="Calibri" w:eastAsia="Calibri" w:hAnsi="Calibri" w:cs="Times New Roman"/>
          <w:b/>
          <w:bCs/>
          <w:kern w:val="0"/>
          <w:sz w:val="22"/>
          <w:szCs w:val="22"/>
          <w14:ligatures w14:val="none"/>
        </w:rPr>
        <w:t xml:space="preserve">2. Passage de la théorie à la réalité </w:t>
      </w:r>
    </w:p>
    <w:p w14:paraId="1E25FDE2" w14:textId="77777777" w:rsidR="0084096A" w:rsidRPr="0084096A" w:rsidRDefault="0084096A" w:rsidP="0084096A">
      <w:pPr>
        <w:spacing w:after="0" w:line="259" w:lineRule="auto"/>
        <w:rPr>
          <w:rFonts w:ascii="Calibri" w:eastAsia="Calibri" w:hAnsi="Calibri" w:cs="Times New Roman"/>
          <w:b/>
          <w:bCs/>
          <w:kern w:val="0"/>
          <w:sz w:val="22"/>
          <w:szCs w:val="22"/>
          <w14:ligatures w14:val="none"/>
        </w:rPr>
      </w:pPr>
    </w:p>
    <w:p w14:paraId="1F26AE9A" w14:textId="77777777" w:rsidR="0084096A" w:rsidRPr="0084096A" w:rsidRDefault="0084096A" w:rsidP="008409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Le calcul théorique suggère qu'un échantillon de 272 navires suffirait pour une précision de 5%. Seulement, cette approche ignore l'hétérogénéité réelle de la flotte. Il faut donc refaire ces calculs en prenant en compte la réalité de la flotte de navires.</w:t>
      </w:r>
    </w:p>
    <w:p w14:paraId="2A0511CE" w14:textId="77777777" w:rsidR="0084096A" w:rsidRPr="0084096A" w:rsidRDefault="0084096A" w:rsidP="008409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La première stratégie de stratification (Regroupement 1) intègre cette complexité via une méthode mixte :</w:t>
      </w:r>
    </w:p>
    <w:p w14:paraId="1F88C6BB" w14:textId="77777777" w:rsidR="0084096A" w:rsidRPr="0084096A" w:rsidRDefault="0084096A" w:rsidP="0084096A">
      <w:pPr>
        <w:numPr>
          <w:ilvl w:val="0"/>
          <w:numId w:val="5"/>
        </w:num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Une strate "systématique" de 46 navires (ensemble des navires faisant parties d’une strate comprenant moins de 5 navires, et devant donc être interrogés systématiquement).</w:t>
      </w:r>
    </w:p>
    <w:p w14:paraId="5D3CC4EE" w14:textId="77777777" w:rsidR="0084096A" w:rsidRDefault="0084096A" w:rsidP="0084096A">
      <w:pPr>
        <w:numPr>
          <w:ilvl w:val="0"/>
          <w:numId w:val="5"/>
        </w:num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Un tirage aléatoire stratifié pour le reste. Cette méthode, bien qu’efficace statistiquement, s'avère coûteuse. En effet, elle nécessite 343 enquêtes si on souhaite atteindre les 5% de précision.</w:t>
      </w:r>
    </w:p>
    <w:p w14:paraId="76516C46" w14:textId="77777777" w:rsidR="0084096A" w:rsidRPr="0084096A" w:rsidRDefault="0084096A" w:rsidP="0084096A">
      <w:pPr>
        <w:spacing w:after="0" w:line="259" w:lineRule="auto"/>
        <w:rPr>
          <w:rFonts w:ascii="Calibri" w:eastAsia="Calibri" w:hAnsi="Calibri" w:cs="Times New Roman"/>
          <w:kern w:val="0"/>
          <w:sz w:val="22"/>
          <w:szCs w:val="22"/>
          <w14:ligatures w14:val="none"/>
        </w:rPr>
      </w:pPr>
    </w:p>
    <w:p w14:paraId="7F5BC5DC" w14:textId="77777777" w:rsidR="0084096A" w:rsidRDefault="0084096A" w:rsidP="0084096A">
      <w:pPr>
        <w:spacing w:after="0" w:line="259" w:lineRule="auto"/>
        <w:rPr>
          <w:rFonts w:ascii="Calibri" w:eastAsia="Calibri" w:hAnsi="Calibri" w:cs="Times New Roman"/>
          <w:b/>
          <w:bCs/>
          <w:kern w:val="0"/>
          <w:sz w:val="22"/>
          <w:szCs w:val="22"/>
          <w14:ligatures w14:val="none"/>
        </w:rPr>
      </w:pPr>
      <w:r w:rsidRPr="0084096A">
        <w:rPr>
          <w:rFonts w:ascii="Calibri" w:eastAsia="Calibri" w:hAnsi="Calibri" w:cs="Times New Roman"/>
          <w:b/>
          <w:bCs/>
          <w:kern w:val="0"/>
          <w:sz w:val="22"/>
          <w:szCs w:val="22"/>
          <w14:ligatures w14:val="none"/>
        </w:rPr>
        <w:t>3. 2</w:t>
      </w:r>
      <w:r w:rsidRPr="0084096A">
        <w:rPr>
          <w:rFonts w:ascii="Calibri" w:eastAsia="Calibri" w:hAnsi="Calibri" w:cs="Times New Roman"/>
          <w:b/>
          <w:bCs/>
          <w:kern w:val="0"/>
          <w:sz w:val="22"/>
          <w:szCs w:val="22"/>
          <w:vertAlign w:val="superscript"/>
          <w14:ligatures w14:val="none"/>
        </w:rPr>
        <w:t>e</w:t>
      </w:r>
      <w:r w:rsidRPr="0084096A">
        <w:rPr>
          <w:rFonts w:ascii="Calibri" w:eastAsia="Calibri" w:hAnsi="Calibri" w:cs="Times New Roman"/>
          <w:b/>
          <w:bCs/>
          <w:kern w:val="0"/>
          <w:sz w:val="22"/>
          <w:szCs w:val="22"/>
          <w14:ligatures w14:val="none"/>
        </w:rPr>
        <w:t xml:space="preserve"> stratégie de stratification</w:t>
      </w:r>
    </w:p>
    <w:p w14:paraId="0383E905" w14:textId="77777777" w:rsidR="0084096A" w:rsidRPr="0084096A" w:rsidRDefault="0084096A" w:rsidP="0084096A">
      <w:pPr>
        <w:spacing w:after="0" w:line="259" w:lineRule="auto"/>
        <w:rPr>
          <w:rFonts w:ascii="Calibri" w:eastAsia="Calibri" w:hAnsi="Calibri" w:cs="Times New Roman"/>
          <w:b/>
          <w:bCs/>
          <w:kern w:val="0"/>
          <w:sz w:val="22"/>
          <w:szCs w:val="22"/>
          <w14:ligatures w14:val="none"/>
        </w:rPr>
      </w:pPr>
    </w:p>
    <w:p w14:paraId="7EC27C3C" w14:textId="77777777" w:rsidR="0084096A" w:rsidRPr="0084096A" w:rsidRDefault="0084096A" w:rsidP="008409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Le script met en évidence l'efficacité supérieure du Regroupement 2. En modifiant les critères de stratification, la variance diminue drastiquement. Comme le montre le tableau comparatif ci-dessous, le Regroupement 2 permet de réduire le nombre de navires interrogés tout en maintenant la même exigence de précision. Pour une précision cible de 5%, le nombre de navires passe de 343 à 285 navires, soit une économie de 59 enquêtes.</w:t>
      </w:r>
    </w:p>
    <w:p w14:paraId="51B8D6A7" w14:textId="77777777" w:rsidR="0084096A" w:rsidRDefault="0084096A" w:rsidP="0084096A">
      <w:pPr>
        <w:spacing w:after="0" w:line="259" w:lineRule="auto"/>
        <w:rPr>
          <w:rFonts w:ascii="Calibri" w:eastAsia="Calibri" w:hAnsi="Calibri" w:cs="Times New Roman"/>
          <w:kern w:val="0"/>
          <w:sz w:val="22"/>
          <w:szCs w:val="22"/>
          <w14:ligatures w14:val="none"/>
        </w:rPr>
      </w:pPr>
    </w:p>
    <w:p w14:paraId="5B27CF7F" w14:textId="50CBB791" w:rsidR="0084096A" w:rsidRDefault="0084096A" w:rsidP="0084096A">
      <w:pPr>
        <w:spacing w:after="0" w:line="259" w:lineRule="auto"/>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Voir annexe tableau 1</w:t>
      </w:r>
    </w:p>
    <w:p w14:paraId="17643674" w14:textId="77777777" w:rsidR="0084096A" w:rsidRPr="0084096A" w:rsidRDefault="0084096A" w:rsidP="0084096A">
      <w:pPr>
        <w:spacing w:after="0" w:line="259" w:lineRule="auto"/>
        <w:rPr>
          <w:rFonts w:ascii="Calibri" w:eastAsia="Calibri" w:hAnsi="Calibri" w:cs="Times New Roman"/>
          <w:kern w:val="0"/>
          <w:sz w:val="22"/>
          <w:szCs w:val="22"/>
          <w14:ligatures w14:val="none"/>
        </w:rPr>
      </w:pPr>
    </w:p>
    <w:p w14:paraId="3B0FA879" w14:textId="77777777" w:rsidR="0084096A" w:rsidRPr="0084096A" w:rsidRDefault="0084096A" w:rsidP="008409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Conclusion : Le Scénario 2 avec une précision de 5% (285 navires) constitue le meilleur compromis technico-économique. Il permet d'économiser près de 17% d'effort de collecte par rapport au premier scénario, tout en restant très proche du minimum théorique absolu. Le passage à une précision de 7.5% (156 navires) pourrait être envisagé si les contraintes de terrain sont fortes, divisant presque par deux la charge de travail.</w:t>
      </w:r>
    </w:p>
    <w:p w14:paraId="62BF01B2" w14:textId="77777777" w:rsidR="0084096A" w:rsidRPr="0084096A" w:rsidRDefault="0084096A" w:rsidP="0084096A">
      <w:pPr>
        <w:spacing w:after="0" w:line="259" w:lineRule="auto"/>
        <w:rPr>
          <w:rFonts w:ascii="Calibri" w:eastAsia="Calibri" w:hAnsi="Calibri" w:cs="Times New Roman"/>
          <w:kern w:val="0"/>
          <w:sz w:val="22"/>
          <w:szCs w:val="22"/>
          <w14:ligatures w14:val="none"/>
        </w:rPr>
      </w:pPr>
    </w:p>
    <w:p w14:paraId="62DB551E" w14:textId="77777777" w:rsidR="0084096A" w:rsidRDefault="0084096A" w:rsidP="0084096A">
      <w:pPr>
        <w:spacing w:after="0" w:line="259" w:lineRule="auto"/>
        <w:rPr>
          <w:rFonts w:ascii="Calibri" w:eastAsia="Calibri" w:hAnsi="Calibri" w:cs="Times New Roman"/>
          <w:b/>
          <w:bCs/>
          <w:kern w:val="0"/>
          <w:sz w:val="22"/>
          <w:szCs w:val="22"/>
          <w14:ligatures w14:val="none"/>
        </w:rPr>
      </w:pPr>
    </w:p>
    <w:p w14:paraId="6A506AAB" w14:textId="1C22170F" w:rsidR="0084096A" w:rsidRDefault="0084096A" w:rsidP="0084096A">
      <w:pPr>
        <w:spacing w:after="0" w:line="259" w:lineRule="auto"/>
        <w:rPr>
          <w:rFonts w:ascii="Calibri" w:eastAsia="Calibri" w:hAnsi="Calibri" w:cs="Times New Roman"/>
          <w:b/>
          <w:bCs/>
          <w:kern w:val="0"/>
          <w:sz w:val="22"/>
          <w:szCs w:val="22"/>
          <w14:ligatures w14:val="none"/>
        </w:rPr>
      </w:pPr>
      <w:r w:rsidRPr="0084096A">
        <w:rPr>
          <w:rFonts w:ascii="Calibri" w:eastAsia="Calibri" w:hAnsi="Calibri" w:cs="Times New Roman"/>
          <w:b/>
          <w:bCs/>
          <w:kern w:val="0"/>
          <w:sz w:val="22"/>
          <w:szCs w:val="22"/>
          <w14:ligatures w14:val="none"/>
        </w:rPr>
        <w:lastRenderedPageBreak/>
        <w:t>4. SimulPE_ID et II</w:t>
      </w:r>
    </w:p>
    <w:p w14:paraId="7BC76A75" w14:textId="77777777" w:rsidR="0084096A" w:rsidRPr="0084096A" w:rsidRDefault="0084096A" w:rsidP="0084096A">
      <w:pPr>
        <w:spacing w:after="0" w:line="259" w:lineRule="auto"/>
        <w:rPr>
          <w:rFonts w:ascii="Calibri" w:eastAsia="Calibri" w:hAnsi="Calibri" w:cs="Times New Roman"/>
          <w:b/>
          <w:bCs/>
          <w:kern w:val="0"/>
          <w:sz w:val="22"/>
          <w:szCs w:val="22"/>
          <w14:ligatures w14:val="none"/>
        </w:rPr>
      </w:pPr>
    </w:p>
    <w:p w14:paraId="251C8F1C" w14:textId="77777777" w:rsidR="0084096A" w:rsidRPr="0084096A" w:rsidRDefault="0084096A" w:rsidP="008409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La seconde partie du script (SimulPE_ID et SimulPE_II) sécurise ce choix par des simulations de Monte-Carlo. Elles permettent de vérifier que l'échantillon choisi produit bien des estimateurs sans biais sur un nombre choisi de répétition (en l’occurrence 10 fois).</w:t>
      </w:r>
    </w:p>
    <w:p w14:paraId="53AAE8E8" w14:textId="77777777" w:rsidR="0084096A" w:rsidRPr="0084096A" w:rsidRDefault="0084096A" w:rsidP="0084096A">
      <w:pPr>
        <w:spacing w:after="0" w:line="259" w:lineRule="auto"/>
        <w:rPr>
          <w:rFonts w:ascii="Calibri" w:eastAsia="Calibri" w:hAnsi="Calibri" w:cs="Times New Roman"/>
          <w:kern w:val="0"/>
          <w:sz w:val="22"/>
          <w:szCs w:val="22"/>
          <w14:ligatures w14:val="none"/>
        </w:rPr>
      </w:pPr>
    </w:p>
    <w:p w14:paraId="5EB5EDE9" w14:textId="77777777" w:rsidR="0084096A" w:rsidRDefault="0084096A" w:rsidP="0084096A">
      <w:pPr>
        <w:spacing w:after="0" w:line="259" w:lineRule="auto"/>
        <w:rPr>
          <w:rFonts w:ascii="Calibri" w:eastAsia="Calibri" w:hAnsi="Calibri" w:cs="Times New Roman"/>
          <w:b/>
          <w:bCs/>
          <w:kern w:val="0"/>
          <w:sz w:val="22"/>
          <w:szCs w:val="22"/>
          <w14:ligatures w14:val="none"/>
        </w:rPr>
      </w:pPr>
      <w:r w:rsidRPr="0084096A">
        <w:rPr>
          <w:rFonts w:ascii="Calibri" w:eastAsia="Calibri" w:hAnsi="Calibri" w:cs="Times New Roman"/>
          <w:b/>
          <w:bCs/>
          <w:kern w:val="0"/>
          <w:sz w:val="22"/>
          <w:szCs w:val="22"/>
          <w14:ligatures w14:val="none"/>
        </w:rPr>
        <w:t>5. Validation et Comparaison des Stratégies (Simulation)</w:t>
      </w:r>
    </w:p>
    <w:p w14:paraId="7A2A0B9B" w14:textId="77777777" w:rsidR="0084096A" w:rsidRPr="0084096A" w:rsidRDefault="0084096A" w:rsidP="0084096A">
      <w:pPr>
        <w:spacing w:after="0" w:line="259" w:lineRule="auto"/>
        <w:rPr>
          <w:rFonts w:ascii="Calibri" w:eastAsia="Calibri" w:hAnsi="Calibri" w:cs="Times New Roman"/>
          <w:b/>
          <w:bCs/>
          <w:kern w:val="0"/>
          <w:sz w:val="22"/>
          <w:szCs w:val="22"/>
          <w14:ligatures w14:val="none"/>
        </w:rPr>
      </w:pPr>
    </w:p>
    <w:p w14:paraId="0474F77D" w14:textId="77777777" w:rsidR="0084096A" w:rsidRPr="0084096A" w:rsidRDefault="0084096A" w:rsidP="008409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Des simulations de Monte-Carlo (avec 10 répétitions) ont été lancées afin de comparer la qualité des estimateurs entre la stratégie de stratification 1 et 2.</w:t>
      </w:r>
    </w:p>
    <w:p w14:paraId="00A4965A" w14:textId="77777777" w:rsidR="0084096A" w:rsidRDefault="0084096A" w:rsidP="0084096A">
      <w:pPr>
        <w:spacing w:after="0" w:line="259" w:lineRule="auto"/>
        <w:rPr>
          <w:rFonts w:ascii="Calibri" w:eastAsia="Calibri" w:hAnsi="Calibri" w:cs="Times New Roman"/>
          <w:kern w:val="0"/>
          <w:sz w:val="22"/>
          <w:szCs w:val="22"/>
          <w14:ligatures w14:val="none"/>
        </w:rPr>
      </w:pPr>
    </w:p>
    <w:p w14:paraId="16A19EE5" w14:textId="22E44869" w:rsidR="0084096A" w:rsidRDefault="0084096A" w:rsidP="0084096A">
      <w:pPr>
        <w:spacing w:after="0" w:line="259" w:lineRule="auto"/>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Voir annexes tableau 2</w:t>
      </w:r>
    </w:p>
    <w:p w14:paraId="57A74EC5" w14:textId="77777777" w:rsidR="0084096A" w:rsidRPr="0084096A" w:rsidRDefault="0084096A" w:rsidP="0084096A">
      <w:pPr>
        <w:spacing w:after="0" w:line="259" w:lineRule="auto"/>
        <w:rPr>
          <w:rFonts w:ascii="Calibri" w:eastAsia="Calibri" w:hAnsi="Calibri" w:cs="Times New Roman"/>
          <w:kern w:val="0"/>
          <w:sz w:val="22"/>
          <w:szCs w:val="22"/>
          <w14:ligatures w14:val="none"/>
        </w:rPr>
      </w:pPr>
    </w:p>
    <w:p w14:paraId="4528AE19" w14:textId="77777777" w:rsidR="0084096A" w:rsidRPr="0084096A" w:rsidRDefault="0084096A" w:rsidP="008409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Analyse des résultats :</w:t>
      </w:r>
    </w:p>
    <w:p w14:paraId="44ABBFC9" w14:textId="77777777" w:rsidR="0084096A" w:rsidRPr="0084096A" w:rsidRDefault="0084096A" w:rsidP="0084096A">
      <w:pPr>
        <w:numPr>
          <w:ilvl w:val="0"/>
          <w:numId w:val="6"/>
        </w:num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 xml:space="preserve">Biais </w:t>
      </w:r>
      <w:proofErr w:type="gramStart"/>
      <w:r w:rsidRPr="0084096A">
        <w:rPr>
          <w:rFonts w:ascii="Calibri" w:eastAsia="Calibri" w:hAnsi="Calibri" w:cs="Times New Roman"/>
          <w:kern w:val="0"/>
          <w:sz w:val="22"/>
          <w:szCs w:val="22"/>
          <w14:ligatures w14:val="none"/>
        </w:rPr>
        <w:t>moyens:</w:t>
      </w:r>
      <w:proofErr w:type="gramEnd"/>
      <w:r w:rsidRPr="0084096A">
        <w:rPr>
          <w:rFonts w:ascii="Calibri" w:eastAsia="Calibri" w:hAnsi="Calibri" w:cs="Times New Roman"/>
          <w:kern w:val="0"/>
          <w:sz w:val="22"/>
          <w:szCs w:val="22"/>
          <w14:ligatures w14:val="none"/>
        </w:rPr>
        <w:t xml:space="preserve"> Dans les deux scénarios, le biais moyen est nul (0).</w:t>
      </w:r>
    </w:p>
    <w:p w14:paraId="0BE96AFF" w14:textId="77777777" w:rsidR="0084096A" w:rsidRPr="0084096A" w:rsidRDefault="0084096A" w:rsidP="0084096A">
      <w:pPr>
        <w:numPr>
          <w:ilvl w:val="0"/>
          <w:numId w:val="6"/>
        </w:num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Coût/Précision : Le Rgpmt 2 a de son côté une légère augmentation de la l’EQM (1.97 au lieu de 1.89). C'est un effet mécanique dû à la réduction de la taille de l'échantillon.</w:t>
      </w:r>
    </w:p>
    <w:p w14:paraId="23B66B71" w14:textId="45AA286B" w:rsidR="00C4498C" w:rsidRDefault="0084096A" w:rsidP="00C4498C">
      <w:pPr>
        <w:numPr>
          <w:ilvl w:val="0"/>
          <w:numId w:val="6"/>
        </w:num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Conclusion : Cette légère hausse est largement compensée par l’avantage du nombre d’enquêtes à réaliser. Le rgpmt2 est donc optimisé et est donc la stratification à préférer pour nos enquêtes à faire auprès des navires.</w:t>
      </w:r>
    </w:p>
    <w:p w14:paraId="0277435F" w14:textId="77777777" w:rsidR="0084096A" w:rsidRDefault="0084096A" w:rsidP="0084096A">
      <w:pPr>
        <w:spacing w:after="0" w:line="259" w:lineRule="auto"/>
        <w:rPr>
          <w:rFonts w:ascii="Calibri" w:eastAsia="Calibri" w:hAnsi="Calibri" w:cs="Times New Roman"/>
          <w:kern w:val="0"/>
          <w:sz w:val="22"/>
          <w:szCs w:val="22"/>
          <w14:ligatures w14:val="none"/>
        </w:rPr>
      </w:pPr>
    </w:p>
    <w:p w14:paraId="3D3BC90B" w14:textId="70CF520D" w:rsidR="0084096A" w:rsidRDefault="0084096A" w:rsidP="0084096A">
      <w:pPr>
        <w:rPr>
          <w:rFonts w:ascii="Calibri" w:eastAsiaTheme="majorEastAsia" w:hAnsi="Calibri" w:cstheme="majorBidi"/>
          <w:b/>
          <w:color w:val="156082" w:themeColor="accent1"/>
          <w:sz w:val="36"/>
          <w:szCs w:val="40"/>
          <w:u w:val="single"/>
        </w:rPr>
      </w:pPr>
      <w:r>
        <w:rPr>
          <w:rFonts w:ascii="Calibri" w:eastAsiaTheme="majorEastAsia" w:hAnsi="Calibri" w:cstheme="majorBidi"/>
          <w:b/>
          <w:color w:val="156082" w:themeColor="accent1"/>
          <w:sz w:val="36"/>
          <w:szCs w:val="40"/>
          <w:u w:val="single"/>
        </w:rPr>
        <w:t>Discussions, conclusions et perspectives</w:t>
      </w:r>
    </w:p>
    <w:p w14:paraId="6EA27C75" w14:textId="77777777" w:rsidR="0084096A" w:rsidRDefault="0084096A" w:rsidP="0084096A">
      <w:pPr>
        <w:rPr>
          <w:rFonts w:ascii="Calibri" w:eastAsiaTheme="majorEastAsia" w:hAnsi="Calibri" w:cstheme="majorBidi"/>
          <w:b/>
          <w:color w:val="156082" w:themeColor="accent1"/>
          <w:sz w:val="22"/>
          <w:szCs w:val="22"/>
          <w:u w:val="single"/>
        </w:rPr>
      </w:pPr>
    </w:p>
    <w:p w14:paraId="0029A9E5" w14:textId="5493223A" w:rsidR="00155456" w:rsidRPr="00155456" w:rsidRDefault="00155456" w:rsidP="00155456">
      <w:pPr>
        <w:rPr>
          <w:rFonts w:ascii="Calibri" w:eastAsia="Calibri" w:hAnsi="Calibri" w:cs="Times New Roman"/>
          <w:b/>
          <w:bCs/>
          <w:kern w:val="0"/>
          <w:sz w:val="22"/>
          <w:szCs w:val="22"/>
          <w14:ligatures w14:val="none"/>
        </w:rPr>
      </w:pPr>
      <w:r>
        <w:rPr>
          <w:rFonts w:ascii="Calibri" w:eastAsia="Calibri" w:hAnsi="Calibri" w:cs="Times New Roman"/>
          <w:b/>
          <w:bCs/>
          <w:kern w:val="0"/>
          <w:sz w:val="22"/>
          <w:szCs w:val="22"/>
          <w14:ligatures w14:val="none"/>
        </w:rPr>
        <w:t xml:space="preserve">1. </w:t>
      </w:r>
      <w:r w:rsidRPr="00155456">
        <w:rPr>
          <w:rFonts w:ascii="Calibri" w:eastAsia="Calibri" w:hAnsi="Calibri" w:cs="Times New Roman"/>
          <w:b/>
          <w:bCs/>
          <w:kern w:val="0"/>
          <w:sz w:val="22"/>
          <w:szCs w:val="22"/>
          <w14:ligatures w14:val="none"/>
        </w:rPr>
        <w:t>Discussion : Bilan du projet</w:t>
      </w:r>
    </w:p>
    <w:p w14:paraId="2A575061" w14:textId="61F77C59" w:rsidR="00155456" w:rsidRDefault="00155456" w:rsidP="00155456">
      <w:pPr>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 xml:space="preserve">Le projet Valpena a permis de dépasser l’approche théorique simple qui ignorait l’hétérogénéité réelle de la flotte pour nous permettre de réaliser une stratification réellement adaptée au terrain. Il a également permis la garantie </w:t>
      </w:r>
      <w:r w:rsidR="00C02A2C">
        <w:rPr>
          <w:rFonts w:ascii="Calibri" w:eastAsia="Calibri" w:hAnsi="Calibri" w:cs="Times New Roman"/>
          <w:kern w:val="0"/>
          <w:sz w:val="22"/>
          <w:szCs w:val="22"/>
          <w14:ligatures w14:val="none"/>
        </w:rPr>
        <w:t>de la représentation des estimations grâce aux procédures de pondération, notamment pour les différents calculs d’indicateurs.</w:t>
      </w:r>
    </w:p>
    <w:p w14:paraId="213ECBAD" w14:textId="01187BF3" w:rsidR="00C02A2C" w:rsidRDefault="00C02A2C" w:rsidP="00155456">
      <w:pPr>
        <w:rPr>
          <w:rFonts w:ascii="Calibri" w:eastAsia="Calibri" w:hAnsi="Calibri" w:cs="Times New Roman"/>
          <w:b/>
          <w:bCs/>
          <w:kern w:val="0"/>
          <w:sz w:val="22"/>
          <w:szCs w:val="22"/>
          <w14:ligatures w14:val="none"/>
        </w:rPr>
      </w:pPr>
      <w:r w:rsidRPr="00C02A2C">
        <w:rPr>
          <w:rFonts w:ascii="Calibri" w:eastAsia="Calibri" w:hAnsi="Calibri" w:cs="Times New Roman"/>
          <w:b/>
          <w:bCs/>
          <w:kern w:val="0"/>
          <w:sz w:val="22"/>
          <w:szCs w:val="22"/>
          <w14:ligatures w14:val="none"/>
        </w:rPr>
        <w:t>2.</w:t>
      </w:r>
      <w:r w:rsidRPr="00C02A2C">
        <w:rPr>
          <w:rFonts w:ascii="Calibri" w:eastAsia="Calibri" w:hAnsi="Calibri" w:cs="Times New Roman"/>
          <w:b/>
          <w:bCs/>
          <w:kern w:val="0"/>
          <w:sz w:val="22"/>
          <w:szCs w:val="22"/>
          <w14:ligatures w14:val="none"/>
        </w:rPr>
        <w:t xml:space="preserve"> </w:t>
      </w:r>
      <w:r w:rsidRPr="00C02A2C">
        <w:rPr>
          <w:rFonts w:ascii="Calibri" w:eastAsia="Calibri" w:hAnsi="Calibri" w:cs="Times New Roman"/>
          <w:b/>
          <w:bCs/>
          <w:kern w:val="0"/>
          <w:sz w:val="22"/>
          <w:szCs w:val="22"/>
          <w14:ligatures w14:val="none"/>
        </w:rPr>
        <w:t>Conclusions : Avantages et limites de la démarche</w:t>
      </w:r>
    </w:p>
    <w:p w14:paraId="7B56AE46" w14:textId="3DC3B645" w:rsidR="00C02A2C" w:rsidRDefault="00BE0A1C" w:rsidP="00155456">
      <w:pPr>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La méthodologie retenue présente un avantage technico-économique majeur. La comparaison des stratégies de stratification a démontré que le « Regroupement 2 » offre le meilleur compromis. Cela passe par des gains d’efficacité (17 % d’efforts économisés), une bonne fiabilité et l’utilisation de la standardisation. Cependant certaines limites demeurent, les données sont déclaratives (pas de suivi en temps réel) et les résultats sont assez sensibles aux non-réponses.</w:t>
      </w:r>
    </w:p>
    <w:p w14:paraId="2643144E" w14:textId="2B2FFE2B" w:rsidR="00BE0A1C" w:rsidRDefault="00166B08" w:rsidP="00155456">
      <w:pPr>
        <w:rPr>
          <w:rFonts w:ascii="Calibri" w:eastAsia="Calibri" w:hAnsi="Calibri" w:cs="Times New Roman"/>
          <w:b/>
          <w:bCs/>
          <w:kern w:val="0"/>
          <w:sz w:val="22"/>
          <w:szCs w:val="22"/>
          <w14:ligatures w14:val="none"/>
        </w:rPr>
      </w:pPr>
      <w:r w:rsidRPr="00166B08">
        <w:rPr>
          <w:rFonts w:ascii="Calibri" w:eastAsia="Calibri" w:hAnsi="Calibri" w:cs="Times New Roman"/>
          <w:b/>
          <w:bCs/>
          <w:kern w:val="0"/>
          <w:sz w:val="22"/>
          <w:szCs w:val="22"/>
          <w14:ligatures w14:val="none"/>
        </w:rPr>
        <w:t>3. Perspectives</w:t>
      </w:r>
    </w:p>
    <w:p w14:paraId="7003BD22" w14:textId="448C7065" w:rsidR="0084096A" w:rsidRDefault="00166B08">
      <w:pPr>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Nous avons repéré deux axes d’amélioration du projet. Le premier concerne de potentielles analyses supplémentaires, notamment sur une exploitation plus approfondie des indices de dépendance et une cartographie des risques pour étudier la sécurité en mer. Le deuxième se porte sur l’échantillonnage, il faudrait intégrer les données des années de recensement complet mais également ajouter des couches de données environnementales pour analyser les interactions entre les zones de pêches et les écosystèmes.</w:t>
      </w:r>
      <w:r w:rsidR="0084096A">
        <w:rPr>
          <w:rFonts w:ascii="Calibri" w:eastAsia="Calibri" w:hAnsi="Calibri" w:cs="Times New Roman"/>
          <w:kern w:val="0"/>
          <w:sz w:val="22"/>
          <w:szCs w:val="22"/>
          <w14:ligatures w14:val="none"/>
        </w:rPr>
        <w:br w:type="page"/>
      </w:r>
    </w:p>
    <w:p w14:paraId="588978A9" w14:textId="71C391C5" w:rsidR="0084096A" w:rsidRDefault="0084096A" w:rsidP="0084096A">
      <w:pPr>
        <w:pStyle w:val="Titre1"/>
        <w:rPr>
          <w:rFonts w:eastAsia="Calibri"/>
        </w:rPr>
      </w:pPr>
      <w:r>
        <w:rPr>
          <w:rFonts w:eastAsia="Calibri"/>
        </w:rPr>
        <w:lastRenderedPageBreak/>
        <w:t>Annexes</w:t>
      </w:r>
    </w:p>
    <w:p w14:paraId="01C71012" w14:textId="77777777" w:rsidR="0084096A" w:rsidRDefault="0084096A" w:rsidP="0084096A"/>
    <w:p w14:paraId="02D1410F" w14:textId="734E5928" w:rsidR="0084096A" w:rsidRDefault="0084096A" w:rsidP="0084096A">
      <w:r>
        <w:t>Tableau 1 :</w:t>
      </w:r>
    </w:p>
    <w:tbl>
      <w:tblPr>
        <w:tblW w:w="0" w:type="auto"/>
        <w:tblCellSpacing w:w="15" w:type="dxa"/>
        <w:tblCellMar>
          <w:left w:w="0" w:type="dxa"/>
          <w:right w:w="0" w:type="dxa"/>
        </w:tblCellMar>
        <w:tblLook w:val="04A0" w:firstRow="1" w:lastRow="0" w:firstColumn="1" w:lastColumn="0" w:noHBand="0" w:noVBand="1"/>
      </w:tblPr>
      <w:tblGrid>
        <w:gridCol w:w="1588"/>
        <w:gridCol w:w="1758"/>
        <w:gridCol w:w="1582"/>
        <w:gridCol w:w="1809"/>
        <w:gridCol w:w="2319"/>
      </w:tblGrid>
      <w:tr w:rsidR="0084096A" w:rsidRPr="0084096A" w14:paraId="5B63EEFF" w14:textId="77777777" w:rsidTr="007C526A">
        <w:trPr>
          <w:trHeight w:val="2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EAF46"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Taux de Précision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7094A"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Minimum Théorique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C3546"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Scénario 1 (Mixte)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48CA8"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Scénario 2 (Optimisé)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4D4C9"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Gain d'efficacité (Scénario 2 vs 1)</w:t>
            </w:r>
          </w:p>
        </w:tc>
      </w:tr>
      <w:tr w:rsidR="0084096A" w:rsidRPr="0084096A" w14:paraId="12569D29" w14:textId="77777777" w:rsidTr="007C526A">
        <w:trPr>
          <w:trHeight w:val="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48D85"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5 %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5FBD6"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272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B1663"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343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69F0B"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285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042FC"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- 17 %</w:t>
            </w:r>
          </w:p>
        </w:tc>
      </w:tr>
      <w:tr w:rsidR="0084096A" w:rsidRPr="0084096A" w14:paraId="60F50CCE" w14:textId="77777777" w:rsidTr="007C526A">
        <w:trPr>
          <w:trHeight w:val="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7D8AE"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7.5 %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05A30"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145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0A826"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218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F82EF"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156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EEF74"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- 28 %</w:t>
            </w:r>
          </w:p>
        </w:tc>
      </w:tr>
      <w:tr w:rsidR="0084096A" w:rsidRPr="0084096A" w14:paraId="0943F40B" w14:textId="77777777" w:rsidTr="007C526A">
        <w:trPr>
          <w:trHeight w:val="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9289B"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10 %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7A01E"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6889F"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163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420FE"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27309"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- 37 %</w:t>
            </w:r>
          </w:p>
        </w:tc>
      </w:tr>
    </w:tbl>
    <w:p w14:paraId="2563B3D9" w14:textId="77777777" w:rsidR="0084096A" w:rsidRDefault="0084096A" w:rsidP="0084096A"/>
    <w:p w14:paraId="79E97346" w14:textId="0DD002FE" w:rsidR="0084096A" w:rsidRDefault="0084096A" w:rsidP="0084096A">
      <w:r>
        <w:t>Tableau 2 :</w:t>
      </w:r>
    </w:p>
    <w:tbl>
      <w:tblPr>
        <w:tblW w:w="9171" w:type="dxa"/>
        <w:tblCellSpacing w:w="15" w:type="dxa"/>
        <w:tblCellMar>
          <w:left w:w="0" w:type="dxa"/>
          <w:right w:w="0" w:type="dxa"/>
        </w:tblCellMar>
        <w:tblLook w:val="04A0" w:firstRow="1" w:lastRow="0" w:firstColumn="1" w:lastColumn="0" w:noHBand="0" w:noVBand="1"/>
      </w:tblPr>
      <w:tblGrid>
        <w:gridCol w:w="1484"/>
        <w:gridCol w:w="1611"/>
        <w:gridCol w:w="1501"/>
        <w:gridCol w:w="1975"/>
        <w:gridCol w:w="2600"/>
      </w:tblGrid>
      <w:tr w:rsidR="0084096A" w:rsidRPr="0084096A" w14:paraId="1528D337" w14:textId="77777777" w:rsidTr="007C526A">
        <w:trPr>
          <w:trHeight w:val="5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AB35E"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Indicateur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FFC16"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Précision Cible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690C9"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Rgpmt 1 (Ref)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D6315"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Rgpmt 2 (Optimisé)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F0469"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Évolution de l'erreur (EQM)</w:t>
            </w:r>
          </w:p>
        </w:tc>
      </w:tr>
      <w:tr w:rsidR="0084096A" w:rsidRPr="0084096A" w14:paraId="1382371A" w14:textId="77777777" w:rsidTr="007C526A">
        <w:trPr>
          <w:trHeight w:val="5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B98C2"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 xml:space="preserve">ID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028A9"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10 %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4C198"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EQM = 1.89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3DB22"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EQM = 1.97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A6505"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+ 0.08 (Négligeable)</w:t>
            </w:r>
          </w:p>
        </w:tc>
      </w:tr>
      <w:tr w:rsidR="0084096A" w:rsidRPr="0084096A" w14:paraId="1D54EA57" w14:textId="77777777" w:rsidTr="007C526A">
        <w:trPr>
          <w:trHeight w:val="5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8A276"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 xml:space="preserve">II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D3D51"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5 %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62BF6"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EQM = 0.63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1468C"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EQM = 0.73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C3BF5"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+ 0.10 (Faible)</w:t>
            </w:r>
          </w:p>
        </w:tc>
      </w:tr>
      <w:tr w:rsidR="0084096A" w:rsidRPr="0084096A" w14:paraId="27F41816" w14:textId="77777777" w:rsidTr="007C526A">
        <w:trPr>
          <w:trHeight w:val="5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ED841"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Biais Moyen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B2EDA"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110A1"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7A323"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A6DD4" w14:textId="77777777" w:rsidR="0084096A" w:rsidRPr="0084096A" w:rsidRDefault="0084096A" w:rsidP="007C526A">
            <w:pPr>
              <w:spacing w:after="0" w:line="259" w:lineRule="auto"/>
              <w:rPr>
                <w:rFonts w:ascii="Calibri" w:eastAsia="Calibri" w:hAnsi="Calibri" w:cs="Times New Roman"/>
                <w:kern w:val="0"/>
                <w:sz w:val="22"/>
                <w:szCs w:val="22"/>
                <w14:ligatures w14:val="none"/>
              </w:rPr>
            </w:pPr>
            <w:r w:rsidRPr="0084096A">
              <w:rPr>
                <w:rFonts w:ascii="Calibri" w:eastAsia="Calibri" w:hAnsi="Calibri" w:cs="Times New Roman"/>
                <w:kern w:val="0"/>
                <w:sz w:val="22"/>
                <w:szCs w:val="22"/>
                <w14:ligatures w14:val="none"/>
              </w:rPr>
              <w:t>Stable</w:t>
            </w:r>
          </w:p>
        </w:tc>
      </w:tr>
    </w:tbl>
    <w:p w14:paraId="6C2A2E00" w14:textId="77777777" w:rsidR="0084096A" w:rsidRPr="0084096A" w:rsidRDefault="0084096A" w:rsidP="0084096A"/>
    <w:sectPr w:rsidR="0084096A" w:rsidRPr="0084096A" w:rsidSect="006306A6">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5569D"/>
    <w:multiLevelType w:val="multilevel"/>
    <w:tmpl w:val="0BD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B47FE5"/>
    <w:multiLevelType w:val="multilevel"/>
    <w:tmpl w:val="B32C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94CE8"/>
    <w:multiLevelType w:val="hybridMultilevel"/>
    <w:tmpl w:val="2F229F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7E049F1"/>
    <w:multiLevelType w:val="multilevel"/>
    <w:tmpl w:val="CC04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445B9F"/>
    <w:multiLevelType w:val="multilevel"/>
    <w:tmpl w:val="875436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5053E1"/>
    <w:multiLevelType w:val="multilevel"/>
    <w:tmpl w:val="30E8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DD6E61"/>
    <w:multiLevelType w:val="hybridMultilevel"/>
    <w:tmpl w:val="6944AF1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19846987">
    <w:abstractNumId w:val="2"/>
  </w:num>
  <w:num w:numId="2" w16cid:durableId="860439028">
    <w:abstractNumId w:val="1"/>
  </w:num>
  <w:num w:numId="3" w16cid:durableId="41638642">
    <w:abstractNumId w:val="5"/>
  </w:num>
  <w:num w:numId="4" w16cid:durableId="1473213376">
    <w:abstractNumId w:val="0"/>
  </w:num>
  <w:num w:numId="5" w16cid:durableId="1599368844">
    <w:abstractNumId w:val="3"/>
  </w:num>
  <w:num w:numId="6" w16cid:durableId="1811709431">
    <w:abstractNumId w:val="4"/>
  </w:num>
  <w:num w:numId="7" w16cid:durableId="13641327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6A6"/>
    <w:rsid w:val="0001664B"/>
    <w:rsid w:val="00032611"/>
    <w:rsid w:val="00043DC4"/>
    <w:rsid w:val="00057E6E"/>
    <w:rsid w:val="00061BF5"/>
    <w:rsid w:val="00085D58"/>
    <w:rsid w:val="000A6B60"/>
    <w:rsid w:val="00117205"/>
    <w:rsid w:val="001473CD"/>
    <w:rsid w:val="00155456"/>
    <w:rsid w:val="00166B08"/>
    <w:rsid w:val="001D04E4"/>
    <w:rsid w:val="0023545B"/>
    <w:rsid w:val="00353823"/>
    <w:rsid w:val="00355D03"/>
    <w:rsid w:val="00416994"/>
    <w:rsid w:val="00437DCC"/>
    <w:rsid w:val="004A7CD0"/>
    <w:rsid w:val="00560B04"/>
    <w:rsid w:val="00576032"/>
    <w:rsid w:val="005A7BA7"/>
    <w:rsid w:val="005C3E64"/>
    <w:rsid w:val="005E50C5"/>
    <w:rsid w:val="005E7734"/>
    <w:rsid w:val="006306A6"/>
    <w:rsid w:val="00706D79"/>
    <w:rsid w:val="007112FA"/>
    <w:rsid w:val="00776BA6"/>
    <w:rsid w:val="007B47AE"/>
    <w:rsid w:val="007F1C5A"/>
    <w:rsid w:val="0080641F"/>
    <w:rsid w:val="00824D6F"/>
    <w:rsid w:val="0084096A"/>
    <w:rsid w:val="008776C8"/>
    <w:rsid w:val="009128D2"/>
    <w:rsid w:val="009D2A16"/>
    <w:rsid w:val="00A6368E"/>
    <w:rsid w:val="00A9403B"/>
    <w:rsid w:val="00B0390A"/>
    <w:rsid w:val="00B308A2"/>
    <w:rsid w:val="00B45B1E"/>
    <w:rsid w:val="00B50CA2"/>
    <w:rsid w:val="00BB3A07"/>
    <w:rsid w:val="00BE0A1C"/>
    <w:rsid w:val="00C02A2C"/>
    <w:rsid w:val="00C4498C"/>
    <w:rsid w:val="00C76C22"/>
    <w:rsid w:val="00C831CC"/>
    <w:rsid w:val="00D15B24"/>
    <w:rsid w:val="00D331AF"/>
    <w:rsid w:val="00D56B29"/>
    <w:rsid w:val="00DA0ADD"/>
    <w:rsid w:val="00DB67FB"/>
    <w:rsid w:val="00E57F92"/>
    <w:rsid w:val="00E977AA"/>
    <w:rsid w:val="00EF5CBD"/>
    <w:rsid w:val="00EF5EBB"/>
    <w:rsid w:val="00F01155"/>
    <w:rsid w:val="00F801E8"/>
    <w:rsid w:val="00FB45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AB522"/>
  <w15:chartTrackingRefBased/>
  <w15:docId w15:val="{E39766F2-F48D-4FF1-8776-298729A9F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96A"/>
  </w:style>
  <w:style w:type="paragraph" w:styleId="Titre1">
    <w:name w:val="heading 1"/>
    <w:basedOn w:val="Normal"/>
    <w:next w:val="Normal"/>
    <w:link w:val="Titre1Car"/>
    <w:uiPriority w:val="9"/>
    <w:qFormat/>
    <w:rsid w:val="00085D58"/>
    <w:pPr>
      <w:keepNext/>
      <w:keepLines/>
      <w:spacing w:before="360" w:after="80"/>
      <w:outlineLvl w:val="0"/>
    </w:pPr>
    <w:rPr>
      <w:rFonts w:ascii="Calibri" w:eastAsiaTheme="majorEastAsia" w:hAnsi="Calibri" w:cstheme="majorBidi"/>
      <w:b/>
      <w:color w:val="156082" w:themeColor="accent1"/>
      <w:sz w:val="36"/>
      <w:szCs w:val="40"/>
      <w:u w:val="single"/>
    </w:rPr>
  </w:style>
  <w:style w:type="paragraph" w:styleId="Titre2">
    <w:name w:val="heading 2"/>
    <w:basedOn w:val="Normal"/>
    <w:next w:val="Normal"/>
    <w:link w:val="Titre2Car"/>
    <w:uiPriority w:val="9"/>
    <w:unhideWhenUsed/>
    <w:qFormat/>
    <w:rsid w:val="00EF5EBB"/>
    <w:pPr>
      <w:keepNext/>
      <w:keepLines/>
      <w:spacing w:before="160" w:after="80"/>
      <w:outlineLvl w:val="1"/>
    </w:pPr>
    <w:rPr>
      <w:rFonts w:ascii="Calibri" w:eastAsiaTheme="majorEastAsia" w:hAnsi="Calibri" w:cstheme="majorBidi"/>
      <w:color w:val="0F4761" w:themeColor="accent1" w:themeShade="BF"/>
      <w:sz w:val="28"/>
      <w:szCs w:val="32"/>
    </w:rPr>
  </w:style>
  <w:style w:type="paragraph" w:styleId="Titre3">
    <w:name w:val="heading 3"/>
    <w:basedOn w:val="Normal"/>
    <w:next w:val="Normal"/>
    <w:link w:val="Titre3Car"/>
    <w:uiPriority w:val="9"/>
    <w:semiHidden/>
    <w:unhideWhenUsed/>
    <w:qFormat/>
    <w:rsid w:val="006306A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306A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306A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306A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306A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306A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306A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85D58"/>
    <w:rPr>
      <w:rFonts w:ascii="Calibri" w:eastAsiaTheme="majorEastAsia" w:hAnsi="Calibri" w:cstheme="majorBidi"/>
      <w:b/>
      <w:color w:val="156082" w:themeColor="accent1"/>
      <w:sz w:val="36"/>
      <w:szCs w:val="40"/>
      <w:u w:val="single"/>
    </w:rPr>
  </w:style>
  <w:style w:type="character" w:customStyle="1" w:styleId="Titre2Car">
    <w:name w:val="Titre 2 Car"/>
    <w:basedOn w:val="Policepardfaut"/>
    <w:link w:val="Titre2"/>
    <w:uiPriority w:val="9"/>
    <w:rsid w:val="00EF5EBB"/>
    <w:rPr>
      <w:rFonts w:ascii="Calibri" w:eastAsiaTheme="majorEastAsia" w:hAnsi="Calibri" w:cstheme="majorBidi"/>
      <w:color w:val="0F4761" w:themeColor="accent1" w:themeShade="BF"/>
      <w:sz w:val="28"/>
      <w:szCs w:val="32"/>
    </w:rPr>
  </w:style>
  <w:style w:type="character" w:customStyle="1" w:styleId="Titre3Car">
    <w:name w:val="Titre 3 Car"/>
    <w:basedOn w:val="Policepardfaut"/>
    <w:link w:val="Titre3"/>
    <w:uiPriority w:val="9"/>
    <w:semiHidden/>
    <w:rsid w:val="006306A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306A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306A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306A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306A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306A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306A6"/>
    <w:rPr>
      <w:rFonts w:eastAsiaTheme="majorEastAsia" w:cstheme="majorBidi"/>
      <w:color w:val="272727" w:themeColor="text1" w:themeTint="D8"/>
    </w:rPr>
  </w:style>
  <w:style w:type="paragraph" w:styleId="Titre">
    <w:name w:val="Title"/>
    <w:basedOn w:val="Normal"/>
    <w:next w:val="Normal"/>
    <w:link w:val="TitreCar"/>
    <w:uiPriority w:val="10"/>
    <w:qFormat/>
    <w:rsid w:val="00630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306A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306A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306A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306A6"/>
    <w:pPr>
      <w:spacing w:before="160"/>
      <w:jc w:val="center"/>
    </w:pPr>
    <w:rPr>
      <w:i/>
      <w:iCs/>
      <w:color w:val="404040" w:themeColor="text1" w:themeTint="BF"/>
    </w:rPr>
  </w:style>
  <w:style w:type="character" w:customStyle="1" w:styleId="CitationCar">
    <w:name w:val="Citation Car"/>
    <w:basedOn w:val="Policepardfaut"/>
    <w:link w:val="Citation"/>
    <w:uiPriority w:val="29"/>
    <w:rsid w:val="006306A6"/>
    <w:rPr>
      <w:i/>
      <w:iCs/>
      <w:color w:val="404040" w:themeColor="text1" w:themeTint="BF"/>
    </w:rPr>
  </w:style>
  <w:style w:type="paragraph" w:styleId="Paragraphedeliste">
    <w:name w:val="List Paragraph"/>
    <w:basedOn w:val="Normal"/>
    <w:uiPriority w:val="34"/>
    <w:qFormat/>
    <w:rsid w:val="006306A6"/>
    <w:pPr>
      <w:ind w:left="720"/>
      <w:contextualSpacing/>
    </w:pPr>
  </w:style>
  <w:style w:type="character" w:styleId="Accentuationintense">
    <w:name w:val="Intense Emphasis"/>
    <w:basedOn w:val="Policepardfaut"/>
    <w:uiPriority w:val="21"/>
    <w:qFormat/>
    <w:rsid w:val="006306A6"/>
    <w:rPr>
      <w:i/>
      <w:iCs/>
      <w:color w:val="0F4761" w:themeColor="accent1" w:themeShade="BF"/>
    </w:rPr>
  </w:style>
  <w:style w:type="paragraph" w:styleId="Citationintense">
    <w:name w:val="Intense Quote"/>
    <w:basedOn w:val="Normal"/>
    <w:next w:val="Normal"/>
    <w:link w:val="CitationintenseCar"/>
    <w:uiPriority w:val="30"/>
    <w:qFormat/>
    <w:rsid w:val="00630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306A6"/>
    <w:rPr>
      <w:i/>
      <w:iCs/>
      <w:color w:val="0F4761" w:themeColor="accent1" w:themeShade="BF"/>
    </w:rPr>
  </w:style>
  <w:style w:type="character" w:styleId="Rfrenceintense">
    <w:name w:val="Intense Reference"/>
    <w:basedOn w:val="Policepardfaut"/>
    <w:uiPriority w:val="32"/>
    <w:qFormat/>
    <w:rsid w:val="006306A6"/>
    <w:rPr>
      <w:b/>
      <w:bCs/>
      <w:smallCaps/>
      <w:color w:val="0F4761" w:themeColor="accent1" w:themeShade="BF"/>
      <w:spacing w:val="5"/>
    </w:rPr>
  </w:style>
  <w:style w:type="paragraph" w:styleId="Sansinterligne">
    <w:name w:val="No Spacing"/>
    <w:link w:val="SansinterligneCar"/>
    <w:uiPriority w:val="1"/>
    <w:qFormat/>
    <w:rsid w:val="006306A6"/>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6306A6"/>
    <w:rPr>
      <w:rFonts w:eastAsiaTheme="minorEastAsia"/>
      <w:kern w:val="0"/>
      <w:sz w:val="22"/>
      <w:szCs w:val="2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C26EB249D54BEB9A5127878B257FD6"/>
        <w:category>
          <w:name w:val="Général"/>
          <w:gallery w:val="placeholder"/>
        </w:category>
        <w:types>
          <w:type w:val="bbPlcHdr"/>
        </w:types>
        <w:behaviors>
          <w:behavior w:val="content"/>
        </w:behaviors>
        <w:guid w:val="{7E5F08A1-DC3D-42E2-9E0C-6B749F14C509}"/>
      </w:docPartPr>
      <w:docPartBody>
        <w:p w:rsidR="00D06000" w:rsidRDefault="00D06000" w:rsidP="00D06000">
          <w:pPr>
            <w:pStyle w:val="7FC26EB249D54BEB9A5127878B257FD6"/>
          </w:pPr>
          <w:r>
            <w:rPr>
              <w:color w:val="0F4761" w:themeColor="accent1" w:themeShade="BF"/>
            </w:rPr>
            <w:t>[Sous-titre du document]</w:t>
          </w:r>
        </w:p>
      </w:docPartBody>
    </w:docPart>
    <w:docPart>
      <w:docPartPr>
        <w:name w:val="8040D79E00DE43C893E0C569F1F2BD8A"/>
        <w:category>
          <w:name w:val="Général"/>
          <w:gallery w:val="placeholder"/>
        </w:category>
        <w:types>
          <w:type w:val="bbPlcHdr"/>
        </w:types>
        <w:behaviors>
          <w:behavior w:val="content"/>
        </w:behaviors>
        <w:guid w:val="{068A97EF-0CD0-4872-9A26-18536D4B4BCE}"/>
      </w:docPartPr>
      <w:docPartBody>
        <w:p w:rsidR="00D06000" w:rsidRDefault="00D06000" w:rsidP="00D06000">
          <w:pPr>
            <w:pStyle w:val="8040D79E00DE43C893E0C569F1F2BD8A"/>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000"/>
    <w:rsid w:val="00125DBA"/>
    <w:rsid w:val="00175BCE"/>
    <w:rsid w:val="00265D21"/>
    <w:rsid w:val="00416994"/>
    <w:rsid w:val="005C3E64"/>
    <w:rsid w:val="00654220"/>
    <w:rsid w:val="00706D79"/>
    <w:rsid w:val="007B47AE"/>
    <w:rsid w:val="00D06000"/>
    <w:rsid w:val="00D15B24"/>
    <w:rsid w:val="00E32ACB"/>
    <w:rsid w:val="00EF5C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FC26EB249D54BEB9A5127878B257FD6">
    <w:name w:val="7FC26EB249D54BEB9A5127878B257FD6"/>
    <w:rsid w:val="00D06000"/>
  </w:style>
  <w:style w:type="paragraph" w:customStyle="1" w:styleId="8040D79E00DE43C893E0C569F1F2BD8A">
    <w:name w:val="8040D79E00DE43C893E0C569F1F2BD8A"/>
    <w:rsid w:val="00D060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6</Pages>
  <Words>1608</Words>
  <Characters>8850</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SAÉ 3-01</dc:subject>
  <dc:creator>Hugo CAILLON | Ulysse COULON | Elouen BOUET | Clément ROUSSEL</dc:creator>
  <cp:keywords/>
  <dc:description/>
  <cp:lastModifiedBy>Clément Roussel</cp:lastModifiedBy>
  <cp:revision>44</cp:revision>
  <dcterms:created xsi:type="dcterms:W3CDTF">2025-09-29T09:54:00Z</dcterms:created>
  <dcterms:modified xsi:type="dcterms:W3CDTF">2025-12-04T09:20:00Z</dcterms:modified>
</cp:coreProperties>
</file>