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LINXEA — ORIAS 08 035 900 (mandataire Spirica)</w:t>
      </w:r>
    </w:p>
    <w:p>
      <w:r>
        <w:rPr>
          <w:b/>
        </w:rPr>
        <w:t>Relevé de contrat d'assurance-vie — Linxea Spirit 2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r>
        <w:rPr>
          <w:b/>
        </w:rPr>
        <w:t>Assurée / Souscriptrice :</w:t>
      </w:r>
      <w:r>
        <w:t xml:space="preserve"> Camille MARCHAND</w:t>
      </w:r>
      <w:r>
        <w:br/>
      </w:r>
      <w:r>
        <w:rPr>
          <w:b/>
        </w:rPr>
        <w:t>Adresse :</w:t>
      </w:r>
      <w:r>
        <w:t xml:space="preserve"> 12 rue de la Paix — 69006 Lyon (adresse fictive)</w:t>
      </w:r>
      <w:r>
        <w:br/>
      </w:r>
      <w:r>
        <w:rPr>
          <w:b/>
        </w:rPr>
        <w:t>Numéro de contrat :</w:t>
      </w:r>
      <w:r>
        <w:t xml:space="preserve"> LNX-SP2-00567890</w:t>
      </w:r>
      <w:r>
        <w:br/>
      </w:r>
      <w:r>
        <w:rPr>
          <w:b/>
        </w:rPr>
        <w:t>Date d'ouverture :</w:t>
      </w:r>
      <w:r>
        <w:t xml:space="preserve"> 05/09/2018</w:t>
      </w:r>
      <w:r>
        <w:br/>
      </w:r>
      <w:r>
        <w:rPr>
          <w:b/>
        </w:rPr>
        <w:t>Date d'arrêté :</w:t>
      </w:r>
      <w:r>
        <w:t xml:space="preserve"> 30/04/2026</w:t>
      </w:r>
      <w:r>
        <w:br/>
      </w:r>
      <w:r>
        <w:rPr>
          <w:b/>
        </w:rPr>
        <w:t>Ancienneté fiscale :</w:t>
      </w:r>
      <w:r>
        <w:t xml:space="preserve"> &gt; 5 ans — régime abattement 4 600 € applicable</w:t>
      </w:r>
      <w:r>
        <w:br/>
      </w:r>
      <w:r>
        <w:rPr>
          <w:b/>
        </w:rPr>
        <w:t>Note :</w:t>
      </w:r>
      <w:r>
        <w:t xml:space="preserve"> Le contrat atteindra 8 ans le 05/09/2026 — abattement majoré (9 200 €) applicable à partir de cette date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Composition du contrat au 30/04/2026</w:t>
      </w:r>
    </w:p>
    <w:p>
      <w:pPr>
        <w:pStyle w:val="Heading3"/>
      </w:pPr>
      <w:r>
        <w:t>Fonds en euros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Fonds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Valorisation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Fonds € Spirica</w:t>
            </w:r>
          </w:p>
        </w:tc>
        <w:tc>
          <w:tcPr>
            <w:tcW w:type="dxa" w:w="2493"/>
            <w:vAlign w:val="center"/>
          </w:tcPr>
          <w:p>
            <w:r/>
            <w:r>
              <w:t>Fonds €</w:t>
            </w:r>
          </w:p>
        </w:tc>
        <w:tc>
          <w:tcPr>
            <w:tcW w:type="dxa" w:w="2493"/>
            <w:vAlign w:val="center"/>
          </w:tcPr>
          <w:p>
            <w:r/>
            <w:r>
              <w:t>87 000,00 €</w:t>
            </w:r>
          </w:p>
        </w:tc>
        <w:tc>
          <w:tcPr>
            <w:tcW w:type="dxa" w:w="2493"/>
            <w:vAlign w:val="center"/>
          </w:tcPr>
          <w:p>
            <w:r/>
            <w:r>
              <w:t>30,00%</w:t>
            </w:r>
          </w:p>
        </w:tc>
      </w:tr>
    </w:tbl>
    <w:p>
      <w:pPr>
        <w:pStyle w:val="Heading3"/>
      </w:pPr>
      <w:r>
        <w:t>Unités de compte — ETF et fonds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ISIN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Libellé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Valorisation</w:t>
            </w:r>
          </w:p>
        </w:tc>
        <w:tc>
          <w:tcPr>
            <w:tcW w:type="dxa" w:w="2493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Part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IE00B4L5Y983</w:t>
            </w:r>
          </w:p>
        </w:tc>
        <w:tc>
          <w:tcPr>
            <w:tcW w:type="dxa" w:w="2493"/>
            <w:vAlign w:val="center"/>
          </w:tcPr>
          <w:p>
            <w:r/>
            <w:r>
              <w:t>iShares Core MSCI World UCITS ETF</w:t>
            </w:r>
          </w:p>
        </w:tc>
        <w:tc>
          <w:tcPr>
            <w:tcW w:type="dxa" w:w="2493"/>
            <w:vAlign w:val="center"/>
          </w:tcPr>
          <w:p>
            <w:r/>
            <w:r>
              <w:t>60 000,00 €</w:t>
            </w:r>
          </w:p>
        </w:tc>
        <w:tc>
          <w:tcPr>
            <w:tcW w:type="dxa" w:w="2493"/>
            <w:vAlign w:val="center"/>
          </w:tcPr>
          <w:p>
            <w:r/>
            <w:r>
              <w:t>20,69%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LU1681045370</w:t>
            </w:r>
          </w:p>
        </w:tc>
        <w:tc>
          <w:tcPr>
            <w:tcW w:type="dxa" w:w="2493"/>
            <w:vAlign w:val="center"/>
          </w:tcPr>
          <w:p>
            <w:r/>
            <w:r>
              <w:t>Amundi PEA Émergents UCITS ETF (UC AV)</w:t>
            </w:r>
          </w:p>
        </w:tc>
        <w:tc>
          <w:tcPr>
            <w:tcW w:type="dxa" w:w="2493"/>
            <w:vAlign w:val="center"/>
          </w:tcPr>
          <w:p>
            <w:r/>
            <w:r>
              <w:t>42 000,00 €</w:t>
            </w:r>
          </w:p>
        </w:tc>
        <w:tc>
          <w:tcPr>
            <w:tcW w:type="dxa" w:w="2493"/>
            <w:vAlign w:val="center"/>
          </w:tcPr>
          <w:p>
            <w:r/>
            <w:r>
              <w:t>14,48%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FR0011550185</w:t>
            </w:r>
          </w:p>
        </w:tc>
        <w:tc>
          <w:tcPr>
            <w:tcW w:type="dxa" w:w="2493"/>
            <w:vAlign w:val="center"/>
          </w:tcPr>
          <w:p>
            <w:r/>
            <w:r>
              <w:t>Comgest Growth World EUR Acc</w:t>
            </w:r>
          </w:p>
        </w:tc>
        <w:tc>
          <w:tcPr>
            <w:tcW w:type="dxa" w:w="2493"/>
            <w:vAlign w:val="center"/>
          </w:tcPr>
          <w:p>
            <w:r/>
            <w:r>
              <w:t>38 000,00 €</w:t>
            </w:r>
          </w:p>
        </w:tc>
        <w:tc>
          <w:tcPr>
            <w:tcW w:type="dxa" w:w="2493"/>
            <w:vAlign w:val="center"/>
          </w:tcPr>
          <w:p>
            <w:r/>
            <w:r>
              <w:t>13,10%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LU0552385295</w:t>
            </w:r>
          </w:p>
        </w:tc>
        <w:tc>
          <w:tcPr>
            <w:tcW w:type="dxa" w:w="2493"/>
            <w:vAlign w:val="center"/>
          </w:tcPr>
          <w:p>
            <w:r/>
            <w:r>
              <w:t>Xtrackers MSCI World Swap UCITS ETF 1C</w:t>
            </w:r>
          </w:p>
        </w:tc>
        <w:tc>
          <w:tcPr>
            <w:tcW w:type="dxa" w:w="2493"/>
            <w:vAlign w:val="center"/>
          </w:tcPr>
          <w:p>
            <w:r/>
            <w:r>
              <w:t>33 000,00 €</w:t>
            </w:r>
          </w:p>
        </w:tc>
        <w:tc>
          <w:tcPr>
            <w:tcW w:type="dxa" w:w="2493"/>
            <w:vAlign w:val="center"/>
          </w:tcPr>
          <w:p>
            <w:r/>
            <w:r>
              <w:t>11,38%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t>FR0010149765</w:t>
            </w:r>
          </w:p>
        </w:tc>
        <w:tc>
          <w:tcPr>
            <w:tcW w:type="dxa" w:w="2493"/>
            <w:vAlign w:val="center"/>
          </w:tcPr>
          <w:p>
            <w:r/>
            <w:r>
              <w:t>Amundi IS MSCI Europe UCITS ETF</w:t>
            </w:r>
          </w:p>
        </w:tc>
        <w:tc>
          <w:tcPr>
            <w:tcW w:type="dxa" w:w="2493"/>
            <w:vAlign w:val="center"/>
          </w:tcPr>
          <w:p>
            <w:r/>
            <w:r>
              <w:t>30 000,00 €</w:t>
            </w:r>
          </w:p>
        </w:tc>
        <w:tc>
          <w:tcPr>
            <w:tcW w:type="dxa" w:w="2493"/>
            <w:vAlign w:val="center"/>
          </w:tcPr>
          <w:p>
            <w:r/>
            <w:r>
              <w:t>10,34%</w:t>
            </w:r>
          </w:p>
        </w:tc>
      </w:tr>
    </w:tbl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Récapitulatif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Élément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Montant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Fonds en euros</w:t>
            </w:r>
          </w:p>
        </w:tc>
        <w:tc>
          <w:tcPr>
            <w:tcW w:type="dxa" w:w="4986"/>
            <w:vAlign w:val="center"/>
          </w:tcPr>
          <w:p>
            <w:r/>
            <w:r>
              <w:t>87 000,00 €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Unités de compte</w:t>
            </w:r>
          </w:p>
        </w:tc>
        <w:tc>
          <w:tcPr>
            <w:tcW w:type="dxa" w:w="4986"/>
            <w:vAlign w:val="center"/>
          </w:tcPr>
          <w:p>
            <w:r/>
            <w:r>
              <w:t>203 000,00 €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Valeur totale du contrat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290 000,00 €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Versements cumulés</w:t>
            </w:r>
          </w:p>
        </w:tc>
        <w:tc>
          <w:tcPr>
            <w:tcW w:type="dxa" w:w="4986"/>
            <w:vAlign w:val="center"/>
          </w:tcPr>
          <w:p>
            <w:r/>
            <w:r>
              <w:t>220 000,00 €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Plus-value latente brute</w:t>
            </w:r>
          </w:p>
        </w:tc>
        <w:tc>
          <w:tcPr>
            <w:tcW w:type="dxa" w:w="4986"/>
            <w:vAlign w:val="center"/>
          </w:tcPr>
          <w:p>
            <w:r/>
            <w:r>
              <w:t>70 000,00 €</w:t>
            </w:r>
          </w:p>
        </w:tc>
      </w:tr>
    </w:tbl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Mentions légales</w:t>
      </w:r>
    </w:p>
    <w:p>
      <w:r>
        <w:t>Spirica SA — 16-18 boulevard de Vaugirard, 75015 Paris — SIREN 487 739 963 RCS Paris — Entreprise régie par le Code des assurances.</w:t>
      </w:r>
      <w:r>
        <w:br/>
      </w:r>
      <w:r>
        <w:t>Linxea SARL, mandataire d'assurance — ORIAS 08 035 900.</w:t>
      </w:r>
      <w:r>
        <w:br/>
      </w:r>
      <w:r>
        <w:t>Les performances passées ne préjugent pas des performances futures. Document établi à titre d'information.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r>
        <w:rPr>
          <w:i/>
        </w:rPr>
        <w:t>Ce document est 100 % fictif. Usage interne dogfood uniquement. Aucune donnée réelle.</w:t>
      </w:r>
    </w:p>
    <w:p/>
    <w:p>
      <w:pPr>
        <w:jc w:val="center"/>
      </w:pPr>
      <w:r>
        <w:rPr>
          <w:i/>
          <w:color w:val="999999"/>
          <w:sz w:val="18"/>
        </w:rPr>
        <w:t>— Document fictif, usage interne dogfood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