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BOURSORAMA BANQUE — ORIAS 07 022 916</w:t>
      </w:r>
    </w:p>
    <w:p>
      <w:r>
        <w:rPr>
          <w:b/>
        </w:rPr>
        <w:t>Relevé de portefeuille CTO — Compte Titres Ordinaire Joint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b/>
        </w:rPr>
        <w:t>Titulaires :</w:t>
      </w:r>
      <w:r>
        <w:t xml:space="preserve"> Antoine ROUSSEAU &amp; Camille MARCHAND</w:t>
      </w:r>
      <w:r>
        <w:br/>
      </w:r>
      <w:r>
        <w:rPr>
          <w:b/>
        </w:rPr>
        <w:t>Adresse :</w:t>
      </w:r>
      <w:r>
        <w:t xml:space="preserve"> 12 rue de la Paix — 69006 Lyon (adresse fictive)</w:t>
      </w:r>
      <w:r>
        <w:br/>
      </w:r>
      <w:r>
        <w:rPr>
          <w:b/>
        </w:rPr>
        <w:t>Numéro de compte CTO :</w:t>
      </w:r>
      <w:r>
        <w:t xml:space="preserve"> BSO-CTO-00789012</w:t>
      </w:r>
      <w:r>
        <w:br/>
      </w:r>
      <w:r>
        <w:rPr>
          <w:b/>
        </w:rPr>
        <w:t>Date d'arrêté :</w:t>
      </w:r>
      <w:r>
        <w:t xml:space="preserve"> 30/04/2026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Positions au 30/04/2026</w:t>
      </w:r>
    </w:p>
    <w:p>
      <w:pPr>
        <w:pStyle w:val="Heading3"/>
      </w:pPr>
      <w:r>
        <w:t>Actions françaises et européennes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ISIN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Quantité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Cours unitaire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FR0000121014</w:t>
            </w:r>
          </w:p>
        </w:tc>
        <w:tc>
          <w:tcPr>
            <w:tcW w:type="dxa" w:w="1994"/>
            <w:vAlign w:val="center"/>
          </w:tcPr>
          <w:p>
            <w:r/>
            <w:r>
              <w:t>LVMH</w:t>
            </w:r>
          </w:p>
        </w:tc>
        <w:tc>
          <w:tcPr>
            <w:tcW w:type="dxa" w:w="1994"/>
            <w:vAlign w:val="center"/>
          </w:tcPr>
          <w:p>
            <w:r/>
            <w:r>
              <w:t>19</w:t>
            </w:r>
          </w:p>
        </w:tc>
        <w:tc>
          <w:tcPr>
            <w:tcW w:type="dxa" w:w="1994"/>
            <w:vAlign w:val="center"/>
          </w:tcPr>
          <w:p>
            <w:r/>
            <w:r>
              <w:t>842,11 €</w:t>
            </w:r>
          </w:p>
        </w:tc>
        <w:tc>
          <w:tcPr>
            <w:tcW w:type="dxa" w:w="1994"/>
            <w:vAlign w:val="center"/>
          </w:tcPr>
          <w:p>
            <w:r/>
            <w:r>
              <w:t>16 000 €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FR0000120271</w:t>
            </w:r>
          </w:p>
        </w:tc>
        <w:tc>
          <w:tcPr>
            <w:tcW w:type="dxa" w:w="1994"/>
            <w:vAlign w:val="center"/>
          </w:tcPr>
          <w:p>
            <w:r/>
            <w:r>
              <w:t>TotalEnergies</w:t>
            </w:r>
          </w:p>
        </w:tc>
        <w:tc>
          <w:tcPr>
            <w:tcW w:type="dxa" w:w="1994"/>
            <w:vAlign w:val="center"/>
          </w:tcPr>
          <w:p>
            <w:r/>
            <w:r>
              <w:t>310</w:t>
            </w:r>
          </w:p>
        </w:tc>
        <w:tc>
          <w:tcPr>
            <w:tcW w:type="dxa" w:w="1994"/>
            <w:vAlign w:val="center"/>
          </w:tcPr>
          <w:p>
            <w:r/>
            <w:r>
              <w:t>45,16 €</w:t>
            </w:r>
          </w:p>
        </w:tc>
        <w:tc>
          <w:tcPr>
            <w:tcW w:type="dxa" w:w="1994"/>
            <w:vAlign w:val="center"/>
          </w:tcPr>
          <w:p>
            <w:r/>
            <w:r>
              <w:t>14 000 €</w:t>
            </w:r>
          </w:p>
        </w:tc>
      </w:tr>
    </w:tbl>
    <w:p>
      <w:pPr>
        <w:pStyle w:val="Heading3"/>
      </w:pPr>
      <w:r>
        <w:t>Actions américaines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ISIN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Quantité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Cours unitaire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US0378331005</w:t>
            </w:r>
          </w:p>
        </w:tc>
        <w:tc>
          <w:tcPr>
            <w:tcW w:type="dxa" w:w="1994"/>
            <w:vAlign w:val="center"/>
          </w:tcPr>
          <w:p>
            <w:r/>
            <w:r>
              <w:t>Apple</w:t>
            </w:r>
          </w:p>
        </w:tc>
        <w:tc>
          <w:tcPr>
            <w:tcW w:type="dxa" w:w="1994"/>
            <w:vAlign w:val="center"/>
          </w:tcPr>
          <w:p>
            <w:r/>
            <w:r>
              <w:t>86</w:t>
            </w:r>
          </w:p>
        </w:tc>
        <w:tc>
          <w:tcPr>
            <w:tcW w:type="dxa" w:w="1994"/>
            <w:vAlign w:val="center"/>
          </w:tcPr>
          <w:p>
            <w:r/>
            <w:r>
              <w:t>209,30 €</w:t>
            </w:r>
          </w:p>
        </w:tc>
        <w:tc>
          <w:tcPr>
            <w:tcW w:type="dxa" w:w="1994"/>
            <w:vAlign w:val="center"/>
          </w:tcPr>
          <w:p>
            <w:r/>
            <w:r>
              <w:t>18 000 €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US5949181045</w:t>
            </w:r>
          </w:p>
        </w:tc>
        <w:tc>
          <w:tcPr>
            <w:tcW w:type="dxa" w:w="1994"/>
            <w:vAlign w:val="center"/>
          </w:tcPr>
          <w:p>
            <w:r/>
            <w:r>
              <w:t>Microsoft</w:t>
            </w:r>
          </w:p>
        </w:tc>
        <w:tc>
          <w:tcPr>
            <w:tcW w:type="dxa" w:w="1994"/>
            <w:vAlign w:val="center"/>
          </w:tcPr>
          <w:p>
            <w:r/>
            <w:r>
              <w:t>40</w:t>
            </w:r>
          </w:p>
        </w:tc>
        <w:tc>
          <w:tcPr>
            <w:tcW w:type="dxa" w:w="1994"/>
            <w:vAlign w:val="center"/>
          </w:tcPr>
          <w:p>
            <w:r/>
            <w:r>
              <w:t>425,00 €</w:t>
            </w:r>
          </w:p>
        </w:tc>
        <w:tc>
          <w:tcPr>
            <w:tcW w:type="dxa" w:w="1994"/>
            <w:vAlign w:val="center"/>
          </w:tcPr>
          <w:p>
            <w:r/>
            <w:r>
              <w:t>17 000 €</w:t>
            </w:r>
          </w:p>
        </w:tc>
      </w:tr>
    </w:tbl>
    <w:p>
      <w:pPr>
        <w:pStyle w:val="Heading3"/>
      </w:pPr>
      <w:r>
        <w:t>Actions britanniques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ISIN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Quantité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Cours unitaire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  <w:tc>
          <w:tcPr>
            <w:tcW w:type="dxa" w:w="1662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Note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t>GB00BP6MXD84</w:t>
            </w:r>
          </w:p>
        </w:tc>
        <w:tc>
          <w:tcPr>
            <w:tcW w:type="dxa" w:w="1662"/>
            <w:vAlign w:val="center"/>
          </w:tcPr>
          <w:p>
            <w:r/>
            <w:r>
              <w:t>Shell</w:t>
            </w:r>
          </w:p>
        </w:tc>
        <w:tc>
          <w:tcPr>
            <w:tcW w:type="dxa" w:w="1662"/>
            <w:vAlign w:val="center"/>
          </w:tcPr>
          <w:p>
            <w:r/>
            <w:r>
              <w:t>367</w:t>
            </w:r>
          </w:p>
        </w:tc>
        <w:tc>
          <w:tcPr>
            <w:tcW w:type="dxa" w:w="1662"/>
            <w:vAlign w:val="center"/>
          </w:tcPr>
          <w:p>
            <w:r/>
            <w:r>
              <w:t>29,97 €</w:t>
            </w:r>
          </w:p>
        </w:tc>
        <w:tc>
          <w:tcPr>
            <w:tcW w:type="dxa" w:w="1662"/>
            <w:vAlign w:val="center"/>
          </w:tcPr>
          <w:p>
            <w:r/>
            <w:r>
              <w:t>11 000 €</w:t>
            </w:r>
          </w:p>
        </w:tc>
        <w:tc>
          <w:tcPr>
            <w:tcW w:type="dxa" w:w="1662"/>
            <w:vAlign w:val="center"/>
          </w:tcPr>
          <w:p>
            <w:r/>
            <w:r>
              <w:t>Convention UK-FR : retenue à la source 15 % dividendes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t>GB0007980591</w:t>
            </w:r>
          </w:p>
        </w:tc>
        <w:tc>
          <w:tcPr>
            <w:tcW w:type="dxa" w:w="1662"/>
            <w:vAlign w:val="center"/>
          </w:tcPr>
          <w:p>
            <w:r/>
            <w:r>
              <w:t>BP</w:t>
            </w:r>
          </w:p>
        </w:tc>
        <w:tc>
          <w:tcPr>
            <w:tcW w:type="dxa" w:w="1662"/>
            <w:vAlign w:val="center"/>
          </w:tcPr>
          <w:p>
            <w:r/>
            <w:r>
              <w:t>450</w:t>
            </w:r>
          </w:p>
        </w:tc>
        <w:tc>
          <w:tcPr>
            <w:tcW w:type="dxa" w:w="1662"/>
            <w:vAlign w:val="center"/>
          </w:tcPr>
          <w:p>
            <w:r/>
            <w:r>
              <w:t>20,00 €</w:t>
            </w:r>
          </w:p>
        </w:tc>
        <w:tc>
          <w:tcPr>
            <w:tcW w:type="dxa" w:w="1662"/>
            <w:vAlign w:val="center"/>
          </w:tcPr>
          <w:p>
            <w:r/>
            <w:r>
              <w:t>9 000 €</w:t>
            </w:r>
          </w:p>
        </w:tc>
        <w:tc>
          <w:tcPr>
            <w:tcW w:type="dxa" w:w="1662"/>
            <w:vAlign w:val="center"/>
          </w:tcPr>
          <w:p>
            <w:r/>
            <w:r>
              <w:t>Convention UK-FR : retenue à la source 15 % dividendes</w:t>
            </w:r>
          </w:p>
        </w:tc>
      </w:tr>
    </w:tbl>
    <w:p>
      <w:pPr>
        <w:pStyle w:val="Heading3"/>
      </w:pPr>
      <w:r>
        <w:t>ETF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ISIN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Libellé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Quantité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Cours unitaire</w:t>
            </w:r>
          </w:p>
        </w:tc>
        <w:tc>
          <w:tcPr>
            <w:tcW w:type="dxa" w:w="1994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Valorisation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IE00B4L5Y983</w:t>
            </w:r>
          </w:p>
        </w:tc>
        <w:tc>
          <w:tcPr>
            <w:tcW w:type="dxa" w:w="1994"/>
            <w:vAlign w:val="center"/>
          </w:tcPr>
          <w:p>
            <w:r/>
            <w:r>
              <w:t>iShares MSCI World</w:t>
            </w:r>
          </w:p>
        </w:tc>
        <w:tc>
          <w:tcPr>
            <w:tcW w:type="dxa" w:w="1994"/>
            <w:vAlign w:val="center"/>
          </w:tcPr>
          <w:p>
            <w:r/>
            <w:r>
              <w:t>551</w:t>
            </w:r>
          </w:p>
        </w:tc>
        <w:tc>
          <w:tcPr>
            <w:tcW w:type="dxa" w:w="1994"/>
            <w:vAlign w:val="center"/>
          </w:tcPr>
          <w:p>
            <w:r/>
            <w:r>
              <w:t>81,67 €</w:t>
            </w:r>
          </w:p>
        </w:tc>
        <w:tc>
          <w:tcPr>
            <w:tcW w:type="dxa" w:w="1994"/>
            <w:vAlign w:val="center"/>
          </w:tcPr>
          <w:p>
            <w:r/>
            <w:r>
              <w:t>45 000 €</w:t>
            </w:r>
          </w:p>
        </w:tc>
      </w:tr>
      <w:tr>
        <w:tc>
          <w:tcPr>
            <w:tcW w:type="dxa" w:w="1994"/>
            <w:vAlign w:val="center"/>
          </w:tcPr>
          <w:p>
            <w:r/>
            <w:r>
              <w:t>IE00B3RBWM25</w:t>
            </w:r>
          </w:p>
        </w:tc>
        <w:tc>
          <w:tcPr>
            <w:tcW w:type="dxa" w:w="1994"/>
            <w:vAlign w:val="center"/>
          </w:tcPr>
          <w:p>
            <w:r/>
            <w:r>
              <w:t>Vanguard FTSE All-World</w:t>
            </w:r>
          </w:p>
        </w:tc>
        <w:tc>
          <w:tcPr>
            <w:tcW w:type="dxa" w:w="1994"/>
            <w:vAlign w:val="center"/>
          </w:tcPr>
          <w:p>
            <w:r/>
            <w:r>
              <w:t>389</w:t>
            </w:r>
          </w:p>
        </w:tc>
        <w:tc>
          <w:tcPr>
            <w:tcW w:type="dxa" w:w="1994"/>
            <w:vAlign w:val="center"/>
          </w:tcPr>
          <w:p>
            <w:r/>
            <w:r>
              <w:t>89,97 €</w:t>
            </w:r>
          </w:p>
        </w:tc>
        <w:tc>
          <w:tcPr>
            <w:tcW w:type="dxa" w:w="1994"/>
            <w:vAlign w:val="center"/>
          </w:tcPr>
          <w:p>
            <w:r/>
            <w:r>
              <w:t>35 000 €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Récapitulatif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Catégorie</w:t>
            </w:r>
          </w:p>
        </w:tc>
        <w:tc>
          <w:tcPr>
            <w:tcW w:type="dxa" w:w="4986"/>
            <w:vAlign w:val="center"/>
          </w:tcPr>
          <w:p>
            <w:r>
              <w:rPr>
                <w:b/>
              </w:rPr>
            </w:r>
            <w:r>
              <w:rPr>
                <w:b/>
              </w:rPr>
              <w:t>Montant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Actions françaises/EU</w:t>
            </w:r>
          </w:p>
        </w:tc>
        <w:tc>
          <w:tcPr>
            <w:tcW w:type="dxa" w:w="4986"/>
            <w:vAlign w:val="center"/>
          </w:tcPr>
          <w:p>
            <w:r/>
            <w:r>
              <w:t>30 000,00 €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Actions américaines</w:t>
            </w:r>
          </w:p>
        </w:tc>
        <w:tc>
          <w:tcPr>
            <w:tcW w:type="dxa" w:w="4986"/>
            <w:vAlign w:val="center"/>
          </w:tcPr>
          <w:p>
            <w:r/>
            <w:r>
              <w:t>35 000,00 €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Actions britanniques</w:t>
            </w:r>
          </w:p>
        </w:tc>
        <w:tc>
          <w:tcPr>
            <w:tcW w:type="dxa" w:w="4986"/>
            <w:vAlign w:val="center"/>
          </w:tcPr>
          <w:p>
            <w:r/>
            <w:r>
              <w:t>20 000,00 €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ETF</w:t>
            </w:r>
          </w:p>
        </w:tc>
        <w:tc>
          <w:tcPr>
            <w:tcW w:type="dxa" w:w="4986"/>
            <w:vAlign w:val="center"/>
          </w:tcPr>
          <w:p>
            <w:r/>
            <w:r>
              <w:t>80 000,00 €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Valorisation totale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/>
              </w:rPr>
              <w:t>165 000,00 €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t>Plus-value latente brute</w:t>
            </w:r>
          </w:p>
        </w:tc>
        <w:tc>
          <w:tcPr>
            <w:tcW w:type="dxa" w:w="4986"/>
            <w:vAlign w:val="center"/>
          </w:tcPr>
          <w:p>
            <w:r/>
            <w:r>
              <w:t>31 000,00 €</w:t>
            </w:r>
          </w:p>
        </w:tc>
      </w:tr>
    </w:tbl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pPr>
        <w:pStyle w:val="Heading2"/>
      </w:pPr>
      <w:r>
        <w:t>Mentions légales</w:t>
      </w:r>
    </w:p>
    <w:p>
      <w:r>
        <w:t>Boursorama Banque SA — 44 rue Traversière, 92100 Boulogne-Billancourt — Agrément ACPR 509410 — ORIAS 07 022 916.</w:t>
      </w:r>
      <w:r>
        <w:br/>
      </w:r>
      <w:r>
        <w:t>Convention fiscale franco-britannique : les dividendes de sociétés UK font l'objet d'une retenue à la source de 15 % imputable sur l'IR français.</w:t>
      </w:r>
      <w:r>
        <w:br/>
      </w:r>
      <w:r>
        <w:t>Les performances passées ne préjugent pas des performances futures. Cours indicatifs au 30/04/2026.</w:t>
      </w:r>
    </w:p>
    <w:p>
      <w:pPr>
        <w:spacing w:before="40" w:after="40"/>
      </w:pPr>
      <w:r>
        <w:rPr>
          <w:color w:val="CCCCCC"/>
        </w:rPr>
        <w:t>______________________________________________________________________</w:t>
      </w:r>
    </w:p>
    <w:p>
      <w:r>
        <w:rPr>
          <w:i/>
        </w:rPr>
        <w:t>Ce document est 100 % fictif. Usage interne dogfood uniquement. Aucune donnée réelle.</w:t>
      </w:r>
    </w:p>
    <w:p/>
    <w:p>
      <w:pPr>
        <w:jc w:val="center"/>
      </w:pPr>
      <w:r>
        <w:rPr>
          <w:i/>
          <w:color w:val="999999"/>
          <w:sz w:val="18"/>
        </w:rPr>
        <w:t>— Document fictif, usage interne dogfood —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