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GENERALI VIE — SIREN 302 112 425</w:t>
      </w:r>
    </w:p>
    <w:p>
      <w:r>
        <w:rPr>
          <w:b/>
        </w:rPr>
        <w:t>Relevé de contrat d'assurance-vie — Generali Espace Lux</w:t>
      </w:r>
    </w:p>
    <w:p>
      <w:pPr>
        <w:spacing w:before="40" w:after="40"/>
      </w:pPr>
      <w:r>
        <w:rPr>
          <w:color w:val="CCCCCC"/>
        </w:rPr>
        <w:t>______________________________________________________________________</w:t>
      </w:r>
    </w:p>
    <w:p>
      <w:r>
        <w:rPr>
          <w:b/>
        </w:rPr>
        <w:t>Assuré / Souscripteur :</w:t>
      </w:r>
      <w:r>
        <w:t xml:space="preserve"> Antoine ROUSSEAU</w:t>
      </w:r>
      <w:r>
        <w:br/>
      </w:r>
      <w:r>
        <w:rPr>
          <w:b/>
        </w:rPr>
        <w:t>Adresse :</w:t>
      </w:r>
      <w:r>
        <w:t xml:space="preserve"> 12 rue de la Paix — 69006 Lyon (adresse fictive)</w:t>
      </w:r>
      <w:r>
        <w:br/>
      </w:r>
      <w:r>
        <w:rPr>
          <w:b/>
        </w:rPr>
        <w:t>Numéro de contrat :</w:t>
      </w:r>
      <w:r>
        <w:t xml:space="preserve"> GEN-ELUX-00456789</w:t>
      </w:r>
      <w:r>
        <w:br/>
      </w:r>
      <w:r>
        <w:rPr>
          <w:b/>
        </w:rPr>
        <w:t>Date d'ouverture :</w:t>
      </w:r>
      <w:r>
        <w:t xml:space="preserve"> 12/03/2010</w:t>
      </w:r>
      <w:r>
        <w:br/>
      </w:r>
      <w:r>
        <w:rPr>
          <w:b/>
        </w:rPr>
        <w:t>Date d'arrêté :</w:t>
      </w:r>
      <w:r>
        <w:t xml:space="preserve"> 30/04/2026</w:t>
      </w:r>
      <w:r>
        <w:br/>
      </w:r>
      <w:r>
        <w:rPr>
          <w:b/>
        </w:rPr>
        <w:t>Ancienneté fiscale :</w:t>
      </w:r>
      <w:r>
        <w:t xml:space="preserve"> &gt; 15 ans — régime abattement 9 200 € (personne seule) applicable</w:t>
      </w:r>
    </w:p>
    <w:p>
      <w:pPr>
        <w:spacing w:before="40" w:after="40"/>
      </w:pPr>
      <w:r>
        <w:rPr>
          <w:color w:val="CCCCCC"/>
        </w:rPr>
        <w:t>______________________________________________________________________</w:t>
      </w:r>
    </w:p>
    <w:p>
      <w:pPr>
        <w:pStyle w:val="Heading2"/>
      </w:pPr>
      <w:r>
        <w:t>Composition du contrat au 30/04/2026</w:t>
      </w:r>
    </w:p>
    <w:p>
      <w:pPr>
        <w:pStyle w:val="Heading3"/>
      </w:pPr>
      <w:r>
        <w:t>Fonds en euros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Fonds</w:t>
            </w:r>
          </w:p>
        </w:tc>
        <w:tc>
          <w:tcPr>
            <w:tcW w:type="dxa" w:w="2493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493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Valorisation</w:t>
            </w:r>
          </w:p>
        </w:tc>
        <w:tc>
          <w:tcPr>
            <w:tcW w:type="dxa" w:w="2493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Part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t>Eurossima</w:t>
            </w:r>
          </w:p>
        </w:tc>
        <w:tc>
          <w:tcPr>
            <w:tcW w:type="dxa" w:w="2493"/>
            <w:vAlign w:val="center"/>
          </w:tcPr>
          <w:p>
            <w:r/>
            <w:r>
              <w:t>Fonds €</w:t>
            </w:r>
          </w:p>
        </w:tc>
        <w:tc>
          <w:tcPr>
            <w:tcW w:type="dxa" w:w="2493"/>
            <w:vAlign w:val="center"/>
          </w:tcPr>
          <w:p>
            <w:r/>
            <w:r>
              <w:t>228 000,00 €</w:t>
            </w:r>
          </w:p>
        </w:tc>
        <w:tc>
          <w:tcPr>
            <w:tcW w:type="dxa" w:w="2493"/>
            <w:vAlign w:val="center"/>
          </w:tcPr>
          <w:p>
            <w:r/>
            <w:r>
              <w:t>60,00%</w:t>
            </w:r>
          </w:p>
        </w:tc>
      </w:tr>
    </w:tbl>
    <w:p>
      <w:pPr>
        <w:pStyle w:val="Heading3"/>
      </w:pPr>
      <w:r>
        <w:t>Unités de compte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ISIN</w:t>
            </w:r>
          </w:p>
        </w:tc>
        <w:tc>
          <w:tcPr>
            <w:tcW w:type="dxa" w:w="1994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Libellé</w:t>
            </w:r>
          </w:p>
        </w:tc>
        <w:tc>
          <w:tcPr>
            <w:tcW w:type="dxa" w:w="1994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Valorisation</w:t>
            </w:r>
          </w:p>
        </w:tc>
        <w:tc>
          <w:tcPr>
            <w:tcW w:type="dxa" w:w="1994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Part</w:t>
            </w:r>
          </w:p>
        </w:tc>
        <w:tc>
          <w:tcPr>
            <w:tcW w:type="dxa" w:w="1994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Note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t>FR0010135103</w:t>
            </w:r>
          </w:p>
        </w:tc>
        <w:tc>
          <w:tcPr>
            <w:tcW w:type="dxa" w:w="1994"/>
            <w:vAlign w:val="center"/>
          </w:tcPr>
          <w:p>
            <w:r/>
            <w:r>
              <w:t>Carmignac Patrimoine A EUR Acc</w:t>
            </w:r>
          </w:p>
        </w:tc>
        <w:tc>
          <w:tcPr>
            <w:tcW w:type="dxa" w:w="1994"/>
            <w:vAlign w:val="center"/>
          </w:tcPr>
          <w:p>
            <w:r/>
            <w:r>
              <w:t>60 800,00 €</w:t>
            </w:r>
          </w:p>
        </w:tc>
        <w:tc>
          <w:tcPr>
            <w:tcW w:type="dxa" w:w="1994"/>
            <w:vAlign w:val="center"/>
          </w:tcPr>
          <w:p>
            <w:r/>
            <w:r>
              <w:t>16,00%</w:t>
            </w:r>
          </w:p>
        </w:tc>
        <w:tc>
          <w:tcPr>
            <w:tcW w:type="dxa" w:w="1994"/>
            <w:vAlign w:val="center"/>
          </w:tcPr>
          <w:p>
            <w:r/>
          </w:p>
        </w:tc>
      </w:tr>
      <w:tr>
        <w:tc>
          <w:tcPr>
            <w:tcW w:type="dxa" w:w="1994"/>
            <w:vAlign w:val="center"/>
          </w:tcPr>
          <w:p>
            <w:r/>
            <w:r>
              <w:t>LU0386882277</w:t>
            </w:r>
          </w:p>
        </w:tc>
        <w:tc>
          <w:tcPr>
            <w:tcW w:type="dxa" w:w="1994"/>
            <w:vAlign w:val="center"/>
          </w:tcPr>
          <w:p>
            <w:r/>
            <w:r>
              <w:t>Pictet-Global Megatrend Selection P</w:t>
            </w:r>
          </w:p>
        </w:tc>
        <w:tc>
          <w:tcPr>
            <w:tcW w:type="dxa" w:w="1994"/>
            <w:vAlign w:val="center"/>
          </w:tcPr>
          <w:p>
            <w:r/>
            <w:r>
              <w:t>53 200,00 €</w:t>
            </w:r>
          </w:p>
        </w:tc>
        <w:tc>
          <w:tcPr>
            <w:tcW w:type="dxa" w:w="1994"/>
            <w:vAlign w:val="center"/>
          </w:tcPr>
          <w:p>
            <w:r/>
            <w:r>
              <w:t>14,00%</w:t>
            </w:r>
          </w:p>
        </w:tc>
        <w:tc>
          <w:tcPr>
            <w:tcW w:type="dxa" w:w="1994"/>
            <w:vAlign w:val="center"/>
          </w:tcPr>
          <w:p>
            <w:r/>
          </w:p>
        </w:tc>
      </w:tr>
      <w:tr>
        <w:tc>
          <w:tcPr>
            <w:tcW w:type="dxa" w:w="1994"/>
            <w:vAlign w:val="center"/>
          </w:tcPr>
          <w:p>
            <w:r/>
            <w:r>
              <w:t>FR0010923375</w:t>
            </w:r>
          </w:p>
        </w:tc>
        <w:tc>
          <w:tcPr>
            <w:tcW w:type="dxa" w:w="1994"/>
            <w:vAlign w:val="center"/>
          </w:tcPr>
          <w:p>
            <w:r/>
            <w:r>
              <w:t>H2O Multibonds R EUR</w:t>
            </w:r>
          </w:p>
        </w:tc>
        <w:tc>
          <w:tcPr>
            <w:tcW w:type="dxa" w:w="1994"/>
            <w:vAlign w:val="center"/>
          </w:tcPr>
          <w:p>
            <w:r/>
            <w:r>
              <w:t>38 000,00 €</w:t>
            </w:r>
          </w:p>
        </w:tc>
        <w:tc>
          <w:tcPr>
            <w:tcW w:type="dxa" w:w="1994"/>
            <w:vAlign w:val="center"/>
          </w:tcPr>
          <w:p>
            <w:r/>
            <w:r>
              <w:t>10,00%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b/>
              </w:rPr>
              <w:t>Valorisation à dire d'expert</w:t>
            </w:r>
            <w:r>
              <w:t xml:space="preserve"> — historique gel 2020-2023 (fonds suspendu puis restructuré)</w:t>
            </w:r>
          </w:p>
        </w:tc>
      </w:tr>
    </w:tbl>
    <w:p>
      <w:pPr>
        <w:spacing w:before="40" w:after="40"/>
      </w:pPr>
      <w:r>
        <w:rPr>
          <w:color w:val="CCCCCC"/>
        </w:rPr>
        <w:t>______________________________________________________________________</w:t>
      </w:r>
    </w:p>
    <w:p>
      <w:pPr>
        <w:pStyle w:val="Heading2"/>
      </w:pPr>
      <w:r>
        <w:t>Récapitulatif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Élément</w:t>
            </w:r>
          </w:p>
        </w:tc>
        <w:tc>
          <w:tcPr>
            <w:tcW w:type="dxa" w:w="4986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Montant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t>Fonds en euros</w:t>
            </w:r>
          </w:p>
        </w:tc>
        <w:tc>
          <w:tcPr>
            <w:tcW w:type="dxa" w:w="4986"/>
            <w:vAlign w:val="center"/>
          </w:tcPr>
          <w:p>
            <w:r/>
            <w:r>
              <w:t>228 000,00 €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t>Unités de compte</w:t>
            </w:r>
          </w:p>
        </w:tc>
        <w:tc>
          <w:tcPr>
            <w:tcW w:type="dxa" w:w="4986"/>
            <w:vAlign w:val="center"/>
          </w:tcPr>
          <w:p>
            <w:r/>
            <w:r>
              <w:t>152 000,00 €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/>
              </w:rPr>
              <w:t>Valeur totale du contrat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/>
              </w:rPr>
              <w:t>380 000,00 €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t>Versements cumulés</w:t>
            </w:r>
          </w:p>
        </w:tc>
        <w:tc>
          <w:tcPr>
            <w:tcW w:type="dxa" w:w="4986"/>
            <w:vAlign w:val="center"/>
          </w:tcPr>
          <w:p>
            <w:r/>
            <w:r>
              <w:t>240 000,00 €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t>Plus-value latente brute</w:t>
            </w:r>
          </w:p>
        </w:tc>
        <w:tc>
          <w:tcPr>
            <w:tcW w:type="dxa" w:w="4986"/>
            <w:vAlign w:val="center"/>
          </w:tcPr>
          <w:p>
            <w:r/>
            <w:r>
              <w:t>140 000,00 €</w:t>
            </w:r>
          </w:p>
        </w:tc>
      </w:tr>
    </w:tbl>
    <w:p>
      <w:pPr>
        <w:spacing w:before="40" w:after="40"/>
      </w:pPr>
      <w:r>
        <w:rPr>
          <w:color w:val="CCCCCC"/>
        </w:rPr>
        <w:t>______________________________________________________________________</w:t>
      </w:r>
    </w:p>
    <w:p>
      <w:pPr>
        <w:pStyle w:val="Heading2"/>
      </w:pPr>
      <w:r>
        <w:t>Clause bénéficiaire</w:t>
      </w:r>
    </w:p>
    <w:p>
      <w:r>
        <w:t xml:space="preserve">Bénéficiaire en cas de décès : </w:t>
      </w:r>
      <w:r>
        <w:rPr>
          <w:i/>
        </w:rPr>
        <w:t>mention à revoir — voir piège n° 18 de la grille de scoring</w:t>
      </w:r>
    </w:p>
    <w:p>
      <w:pPr>
        <w:spacing w:before="40" w:after="40"/>
      </w:pPr>
      <w:r>
        <w:rPr>
          <w:color w:val="CCCCCC"/>
        </w:rPr>
        <w:t>______________________________________________________________________</w:t>
      </w:r>
    </w:p>
    <w:p>
      <w:pPr>
        <w:pStyle w:val="Heading2"/>
      </w:pPr>
      <w:r>
        <w:t>Mentions légales</w:t>
      </w:r>
    </w:p>
    <w:p>
      <w:r>
        <w:t>Generali Vie SA — 2 rue Pillet-Will, 75009 Paris — Société anonyme au capital de 336 872 976 € — SIREN 302 112 425 RCS Paris — Entreprise régie par le Code des assurances.</w:t>
      </w:r>
      <w:r>
        <w:br/>
      </w:r>
      <w:r>
        <w:t>Le fonds H2O Multibonds a fait l'objet de mesures de suspension et de ségrégation d'actifs de 2020 à 2023. La valorisation indiquée correspond à une évaluation à dire d'expert. Risque de recouvrement partiel non exclu.</w:t>
      </w:r>
      <w:r>
        <w:br/>
      </w:r>
      <w:r>
        <w:t>Les performances passées ne préjugent pas des performances futures. Document établi à titre d'information.</w:t>
      </w:r>
    </w:p>
    <w:p>
      <w:pPr>
        <w:spacing w:before="40" w:after="40"/>
      </w:pPr>
      <w:r>
        <w:rPr>
          <w:color w:val="CCCCCC"/>
        </w:rPr>
        <w:t>______________________________________________________________________</w:t>
      </w:r>
    </w:p>
    <w:p>
      <w:r>
        <w:rPr>
          <w:i/>
        </w:rPr>
        <w:t>Ce document est 100 % fictif. Usage interne dogfood uniquement. Aucune donnée réelle.</w:t>
      </w:r>
    </w:p>
    <w:p/>
    <w:p>
      <w:pPr>
        <w:jc w:val="center"/>
      </w:pPr>
      <w:r>
        <w:rPr>
          <w:i/>
          <w:color w:val="999999"/>
          <w:sz w:val="18"/>
        </w:rPr>
        <w:t>— Document fictif, usage interne dogfood —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