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24.png" ContentType="image/png"/>
  <Override PartName="/word/media/rId27.png" ContentType="image/png"/>
  <Override PartName="/word/media/rId10.png" ContentType="image/png"/>
  <Override PartName="/word/media/rId15.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E-Marinade</w:t>
      </w:r>
    </w:p>
    <w:bookmarkStart w:id="9" w:name="introduction"/>
    <w:p>
      <w:pPr>
        <w:pStyle w:val="Heading1"/>
      </w:pPr>
      <w:r>
        <w:t xml:space="preserve">Introduction,</w:t>
      </w:r>
    </w:p>
    <w:p>
      <w:pPr>
        <w:pStyle w:val="FirstParagraph"/>
      </w:pPr>
      <w:r>
        <w:t xml:space="preserve">This vignette explains how to use the Shiny application to explore</w:t>
      </w:r>
      <w:r>
        <w:t xml:space="preserve"> </w:t>
      </w:r>
      <w:r>
        <w:rPr>
          <w:i/>
          <w:iCs/>
        </w:rPr>
        <w:t xml:space="preserve">Non-Indigenous Species</w:t>
      </w:r>
      <w:r>
        <w:t xml:space="preserve"> </w:t>
      </w:r>
      <w:r>
        <w:t xml:space="preserve">(</w:t>
      </w:r>
      <w:r>
        <w:rPr>
          <w:i/>
          <w:iCs/>
        </w:rPr>
        <w:t xml:space="preserve">NIS</w:t>
      </w:r>
      <w:r>
        <w:t xml:space="preserve">) in European seas. This vignette will present you how to launch the app; use the</w:t>
      </w:r>
      <w:r>
        <w:t xml:space="preserve"> </w:t>
      </w:r>
      <w:r>
        <w:rPr>
          <w:i/>
          <w:iCs/>
        </w:rPr>
        <w:t xml:space="preserve">European Introduction Map</w:t>
      </w:r>
      <w:r>
        <w:t xml:space="preserve"> </w:t>
      </w:r>
      <w:r>
        <w:t xml:space="preserve">to inspect regional</w:t>
      </w:r>
      <w:r>
        <w:t xml:space="preserve"> </w:t>
      </w:r>
      <w:r>
        <w:rPr>
          <w:i/>
          <w:iCs/>
        </w:rPr>
        <w:t xml:space="preserve">NIS</w:t>
      </w:r>
      <w:r>
        <w:t xml:space="preserve"> </w:t>
      </w:r>
      <w:r>
        <w:t xml:space="preserve">richness and list species; Use the</w:t>
      </w:r>
      <w:r>
        <w:t xml:space="preserve"> </w:t>
      </w:r>
      <w:r>
        <w:rPr>
          <w:i/>
          <w:iCs/>
        </w:rPr>
        <w:t xml:space="preserve">Species Explorer</w:t>
      </w:r>
      <w:r>
        <w:t xml:space="preserve"> </w:t>
      </w:r>
      <w:r>
        <w:t xml:space="preserve">to explore</w:t>
      </w:r>
      <w:r>
        <w:t xml:space="preserve"> </w:t>
      </w:r>
      <w:r>
        <w:rPr>
          <w:i/>
          <w:iCs/>
        </w:rPr>
        <w:t xml:space="preserve">introduced</w:t>
      </w:r>
      <w:r>
        <w:t xml:space="preserve"> </w:t>
      </w:r>
      <w:r>
        <w:t xml:space="preserve">and</w:t>
      </w:r>
      <w:r>
        <w:t xml:space="preserve"> </w:t>
      </w:r>
      <w:r>
        <w:rPr>
          <w:i/>
          <w:iCs/>
        </w:rPr>
        <w:t xml:space="preserve">native</w:t>
      </w:r>
      <w:r>
        <w:t xml:space="preserve"> </w:t>
      </w:r>
      <w:r>
        <w:t xml:space="preserve">ranges of particular species and finaly export results</w:t>
      </w:r>
    </w:p>
    <w:bookmarkEnd w:id="9"/>
    <w:bookmarkStart w:id="13" w:name="quick-start"/>
    <w:p>
      <w:pPr>
        <w:pStyle w:val="Heading1"/>
      </w:pPr>
      <w:r>
        <w:t xml:space="preserve">Quick Start</w:t>
      </w:r>
    </w:p>
    <w:p>
      <w:pPr>
        <w:pStyle w:val="FirstParagraph"/>
      </w:pPr>
      <w:r>
        <w:t xml:space="preserve">To launch the app, simply write in the terminal:</w:t>
      </w:r>
    </w:p>
    <w:p>
      <w:pPr>
        <w:pStyle w:val="SourceCode"/>
      </w:pPr>
      <w:r>
        <w:rPr>
          <w:rStyle w:val="FunctionTok"/>
        </w:rPr>
        <w:t xml:space="preserve">library</w:t>
      </w:r>
      <w:r>
        <w:rPr>
          <w:rStyle w:val="NormalTok"/>
        </w:rPr>
        <w:t xml:space="preserve">(emarinade)</w:t>
      </w:r>
      <w:r>
        <w:br/>
      </w:r>
      <w:r>
        <w:br/>
      </w:r>
      <w:r>
        <w:rPr>
          <w:rStyle w:val="FunctionTok"/>
        </w:rPr>
        <w:t xml:space="preserve">shiny_emarinade</w:t>
      </w:r>
      <w:r>
        <w:rPr>
          <w:rStyle w:val="NormalTok"/>
        </w:rPr>
        <w:t xml:space="preserve">()</w:t>
      </w:r>
    </w:p>
    <w:p>
      <w:pPr>
        <w:pStyle w:val="FirstParagraph"/>
      </w:pPr>
      <w:r>
        <w:t xml:space="preserve">After launch, the browser shows the</w:t>
      </w:r>
      <w:r>
        <w:t xml:space="preserve"> </w:t>
      </w:r>
      <w:r>
        <w:rPr>
          <w:rStyle w:val="VerbatimChar"/>
        </w:rPr>
        <w:t xml:space="preserve">Home page</w:t>
      </w:r>
      <w:r>
        <w:t xml:space="preserve"> </w:t>
      </w:r>
      <w:r>
        <w:t xml:space="preserve">with a left sidebar for navigation.</w:t>
      </w:r>
    </w:p>
    <w:p>
      <w:pPr>
        <w:pStyle w:val="CaptionedFigure"/>
      </w:pPr>
      <w:r>
        <w:drawing>
          <wp:inline>
            <wp:extent cx="5334000" cy="3000375"/>
            <wp:effectExtent b="0" l="0" r="0" t="0"/>
            <wp:docPr descr="Home page" title="" id="11" name="Picture"/>
            <a:graphic>
              <a:graphicData uri="http://schemas.openxmlformats.org/drawingml/2006/picture">
                <pic:pic>
                  <pic:nvPicPr>
                    <pic:cNvPr descr="figures/home.png" id="12" name="Picture"/>
                    <pic:cNvPicPr>
                      <a:picLocks noChangeArrowheads="1" noChangeAspect="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Home page</w:t>
      </w:r>
    </w:p>
    <w:bookmarkEnd w:id="13"/>
    <w:bookmarkStart w:id="14" w:name="application-overview"/>
    <w:p>
      <w:pPr>
        <w:pStyle w:val="Heading1"/>
      </w:pPr>
      <w:r>
        <w:t xml:space="preserve">Application Overview</w:t>
      </w:r>
    </w:p>
    <w:p>
      <w:pPr>
        <w:pStyle w:val="FirstParagraph"/>
      </w:pPr>
      <w:r>
        <w:t xml:space="preserve">The app provides two workspaces:</w:t>
      </w:r>
    </w:p>
    <w:p>
      <w:pPr>
        <w:pStyle w:val="Compact"/>
        <w:numPr>
          <w:ilvl w:val="0"/>
          <w:numId w:val="1001"/>
        </w:numPr>
      </w:pPr>
      <w:r>
        <w:rPr>
          <w:b/>
          <w:bCs/>
        </w:rPr>
        <w:t xml:space="preserve">European Introduction Map</w:t>
      </w:r>
      <w:r>
        <w:t xml:space="preserve"> </w:t>
      </w:r>
      <w:r>
        <w:t xml:space="preserve">— regional view: where NIS occur and</w:t>
      </w:r>
      <w:r>
        <w:t xml:space="preserve"> </w:t>
      </w:r>
      <w:r>
        <w:t xml:space="preserve">which species are present.</w:t>
      </w:r>
    </w:p>
    <w:p>
      <w:pPr>
        <w:pStyle w:val="Compact"/>
        <w:numPr>
          <w:ilvl w:val="0"/>
          <w:numId w:val="1001"/>
        </w:numPr>
      </w:pPr>
      <w:r>
        <w:rPr>
          <w:b/>
          <w:bCs/>
        </w:rPr>
        <w:t xml:space="preserve">Species Explorer</w:t>
      </w:r>
      <w:r>
        <w:t xml:space="preserve"> </w:t>
      </w:r>
      <w:r>
        <w:t xml:space="preserve">— species view: introduced vs native ranges for</w:t>
      </w:r>
      <w:r>
        <w:t xml:space="preserve"> </w:t>
      </w:r>
      <w:r>
        <w:t xml:space="preserve">selected taxa.</w:t>
      </w:r>
    </w:p>
    <w:p>
      <w:pPr>
        <w:pStyle w:val="FirstParagraph"/>
      </w:pPr>
      <w:r>
        <w:t xml:space="preserve">All data tables support</w:t>
      </w:r>
      <w:r>
        <w:t xml:space="preserve"> </w:t>
      </w:r>
      <w:r>
        <w:rPr>
          <w:rStyle w:val="VerbatimChar"/>
        </w:rPr>
        <w:t xml:space="preserve">search</w:t>
      </w:r>
      <w:r>
        <w:t xml:space="preserve">,</w:t>
      </w:r>
      <w:r>
        <w:t xml:space="preserve"> </w:t>
      </w:r>
      <w:r>
        <w:rPr>
          <w:rStyle w:val="VerbatimChar"/>
        </w:rPr>
        <w:t xml:space="preserve">filter</w:t>
      </w:r>
      <w:r>
        <w:t xml:space="preserve"> </w:t>
      </w:r>
      <w:r>
        <w:t xml:space="preserve">(when available),</w:t>
      </w:r>
      <w:r>
        <w:t xml:space="preserve"> </w:t>
      </w:r>
      <w:r>
        <w:rPr>
          <w:rStyle w:val="VerbatimChar"/>
        </w:rPr>
        <w:t xml:space="preserve">scroll</w:t>
      </w:r>
      <w:r>
        <w:t xml:space="preserve">, and</w:t>
      </w:r>
      <w:r>
        <w:t xml:space="preserve"> </w:t>
      </w:r>
      <w:r>
        <w:rPr>
          <w:rStyle w:val="VerbatimChar"/>
        </w:rPr>
        <w:t xml:space="preserve">export</w:t>
      </w:r>
      <w:r>
        <w:t xml:space="preserve"> </w:t>
      </w:r>
      <w:r>
        <w:t xml:space="preserve">(Clipboard / CSV / Excel).</w:t>
      </w:r>
    </w:p>
    <w:bookmarkEnd w:id="14"/>
    <w:bookmarkStart w:id="23" w:name="X56b33b684ce07f2dd28abc8b62f9417ba66897a"/>
    <w:p>
      <w:pPr>
        <w:pStyle w:val="Heading1"/>
      </w:pPr>
      <w:r>
        <w:t xml:space="preserve">European Introduction Map (Regional Exploration),</w:t>
      </w:r>
    </w:p>
    <w:p>
      <w:pPr>
        <w:pStyle w:val="FirstParagraph"/>
      </w:pPr>
      <w:r>
        <w:t xml:space="preserve">The aim of the</w:t>
      </w:r>
      <w:r>
        <w:t xml:space="preserve"> </w:t>
      </w:r>
      <w:r>
        <w:rPr>
          <w:rStyle w:val="VerbatimChar"/>
        </w:rPr>
        <w:t xml:space="preserve">European Introduction Map</w:t>
      </w:r>
      <w:r>
        <w:t xml:space="preserve"> </w:t>
      </w:r>
      <w:r>
        <w:t xml:space="preserve">is to inspect NIS richness by MEOW ecoregion and to list the species present in each selected region.</w:t>
      </w:r>
    </w:p>
    <w:p>
      <w:pPr>
        <w:pStyle w:val="BodyText"/>
      </w:pPr>
      <w:r>
        <w:drawing>
          <wp:inline>
            <wp:extent cx="5334000" cy="3000375"/>
            <wp:effectExtent b="0" l="0" r="0" t="0"/>
            <wp:docPr descr="" title="" id="16" name="Picture"/>
            <a:graphic>
              <a:graphicData uri="http://schemas.openxmlformats.org/drawingml/2006/picture">
                <pic:pic>
                  <pic:nvPicPr>
                    <pic:cNvPr descr="figures/map_overview.png" id="17" name="Picture"/>
                    <pic:cNvPicPr>
                      <a:picLocks noChangeArrowheads="1" noChangeAspect="1"/>
                    </pic:cNvPicPr>
                  </pic:nvPicPr>
                  <pic:blipFill>
                    <a:blip r:embed="rId1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map is composed of polygons that correspond to MEOW ecoregions (see</w:t>
      </w:r>
      <w:r>
        <w:t xml:space="preserve"> </w:t>
      </w:r>
      <w:hyperlink r:id="rId18">
        <w:r>
          <w:rPr>
            <w:rStyle w:val="Hyperlink"/>
          </w:rPr>
          <w:t xml:space="preserve">Spalding et al. 2007</w:t>
        </w:r>
      </w:hyperlink>
      <w:r>
        <w:t xml:space="preserve"> </w:t>
      </w:r>
      <w:r>
        <w:t xml:space="preserve">for a description of this regions). Each polygon is filled with a color that represents the number of unique NIS recorded in that ecoregion. When you hover over a region, a tooltip appears showing the ecoregion name and the corresponding NIS count. You can navigate the map by zooming and panning with your mouse, trackpad, or the on-screen controls.</w:t>
      </w:r>
    </w:p>
    <w:p>
      <w:pPr>
        <w:pStyle w:val="BodyText"/>
      </w:pPr>
      <w:r>
        <w:t xml:space="preserve">To inspect a specific region, simply click on a polygon. The label</w:t>
      </w:r>
      <w:r>
        <w:t xml:space="preserve"> </w:t>
      </w:r>
      <w:r>
        <w:t xml:space="preserve">“Selected Ecoregion(s)”</w:t>
      </w:r>
      <w:r>
        <w:t xml:space="preserve"> </w:t>
      </w:r>
      <w:r>
        <w:t xml:space="preserve">will update, and the species table located below the map will refresh automatically to display all species present in the chosen region. It is also possible to select multiple regions, in which case the table will aggregate the species across all selected areas. To clear the selections and return to the default view, use the</w:t>
      </w:r>
      <w:r>
        <w:t xml:space="preserve"> </w:t>
      </w:r>
      <w:r>
        <w:rPr>
          <w:rStyle w:val="VerbatimChar"/>
        </w:rPr>
        <w:t xml:space="preserve">Reset Table</w:t>
      </w:r>
      <w:r>
        <w:t xml:space="preserve"> </w:t>
      </w:r>
      <w:r>
        <w:t xml:space="preserve">button.</w:t>
      </w:r>
    </w:p>
    <w:p>
      <w:pPr>
        <w:pStyle w:val="CaptionedFigure"/>
      </w:pPr>
      <w:r>
        <w:drawing>
          <wp:inline>
            <wp:extent cx="5334000" cy="4299154"/>
            <wp:effectExtent b="0" l="0" r="0" t="0"/>
            <wp:docPr descr="Selected regions and table" title="" id="20" name="Picture"/>
            <a:graphic>
              <a:graphicData uri="http://schemas.openxmlformats.org/drawingml/2006/picture">
                <pic:pic>
                  <pic:nvPicPr>
                    <pic:cNvPr descr="figures/map_selection_table.png" id="21" name="Picture"/>
                    <pic:cNvPicPr>
                      <a:picLocks noChangeArrowheads="1" noChangeAspect="1"/>
                    </pic:cNvPicPr>
                  </pic:nvPicPr>
                  <pic:blipFill>
                    <a:blip r:embed="rId19"/>
                    <a:stretch>
                      <a:fillRect/>
                    </a:stretch>
                  </pic:blipFill>
                  <pic:spPr bwMode="auto">
                    <a:xfrm>
                      <a:off x="0" y="0"/>
                      <a:ext cx="5334000" cy="4299154"/>
                    </a:xfrm>
                    <a:prstGeom prst="rect">
                      <a:avLst/>
                    </a:prstGeom>
                    <a:noFill/>
                    <a:ln w="9525">
                      <a:noFill/>
                      <a:headEnd/>
                      <a:tailEnd/>
                    </a:ln>
                  </pic:spPr>
                </pic:pic>
              </a:graphicData>
            </a:graphic>
          </wp:inline>
        </w:drawing>
      </w:r>
    </w:p>
    <w:p>
      <w:pPr>
        <w:pStyle w:val="ImageCaption"/>
      </w:pPr>
      <w:r>
        <w:t xml:space="preserve">Selected regions and table</w:t>
      </w:r>
    </w:p>
    <w:p>
      <w:pPr>
        <w:pStyle w:val="BodyText"/>
      </w:pPr>
      <w:r>
        <w:t xml:space="preserve">The species table displayed under the map contains several columns: the taxonomy (from Kindgom down to Species), the</w:t>
      </w:r>
      <w:r>
        <w:t xml:space="preserve"> </w:t>
      </w:r>
      <w:r>
        <w:rPr>
          <w:i/>
          <w:iCs/>
        </w:rPr>
        <w:t xml:space="preserve">AphiaID</w:t>
      </w:r>
      <w:r>
        <w:t xml:space="preserve"> </w:t>
      </w:r>
      <w:r>
        <w:t xml:space="preserve">identifier linking the species to the</w:t>
      </w:r>
      <w:r>
        <w:t xml:space="preserve"> </w:t>
      </w:r>
      <w:hyperlink r:id="rId22">
        <w:r>
          <w:rPr>
            <w:rStyle w:val="Hyperlink"/>
          </w:rPr>
          <w:t xml:space="preserve">World Register of Marine Species</w:t>
        </w:r>
      </w:hyperlink>
      <w:r>
        <w:t xml:space="preserve"> </w:t>
      </w:r>
      <w:r>
        <w:t xml:space="preserve">database, the year of the first observation of the taxon in the area, the MSFD subregion, and the associated Realm, Province, and Ecoregion under the</w:t>
      </w:r>
      <w:r>
        <w:t xml:space="preserve"> </w:t>
      </w:r>
      <w:r>
        <w:rPr>
          <w:i/>
          <w:iCs/>
        </w:rPr>
        <w:t xml:space="preserve">Marine Ecoregion of the World</w:t>
      </w:r>
      <w:r>
        <w:t xml:space="preserve"> </w:t>
      </w:r>
      <w:r>
        <w:t xml:space="preserve">framework. The table also specifies the original source for each record.</w:t>
      </w:r>
    </w:p>
    <w:bookmarkEnd w:id="23"/>
    <w:bookmarkStart w:id="36" w:name="species-explorer"/>
    <w:p>
      <w:pPr>
        <w:pStyle w:val="Heading1"/>
      </w:pPr>
      <w:r>
        <w:t xml:space="preserve">Species Explorer</w:t>
      </w:r>
    </w:p>
    <w:p>
      <w:pPr>
        <w:pStyle w:val="FirstParagraph"/>
      </w:pPr>
      <w:r>
        <w:t xml:space="preserve">The purpose of the Species Explorer is to inspect both the introduced and native ranges of selected species. Users can provide input either by selecting directly from a taxonomic table or by entering species names or AphiaIDs through a text box.</w:t>
      </w:r>
    </w:p>
    <w:p>
      <w:pPr>
        <w:pStyle w:val="BodyText"/>
      </w:pPr>
      <w:r>
        <w:t xml:space="preserve">In</w:t>
      </w:r>
      <w:r>
        <w:t xml:space="preserve"> </w:t>
      </w:r>
      <w:r>
        <w:rPr>
          <w:rStyle w:val="VerbatimChar"/>
        </w:rPr>
        <w:t xml:space="preserve">Table mode</w:t>
      </w:r>
      <w:r>
        <w:t xml:space="preserve">, the process is straightforward: locate the taxonomic table, click on a row to select a species, and then use the species drop-down menu to adjust your selection, allowing for multiple species to be explored at once.</w:t>
      </w:r>
    </w:p>
    <w:p>
      <w:pPr>
        <w:pStyle w:val="BodyText"/>
      </w:pPr>
      <w:r>
        <w:drawing>
          <wp:inline>
            <wp:extent cx="5334000" cy="5870352"/>
            <wp:effectExtent b="0" l="0" r="0" t="0"/>
            <wp:docPr descr="" title="" id="25" name="Picture"/>
            <a:graphic>
              <a:graphicData uri="http://schemas.openxmlformats.org/drawingml/2006/picture">
                <pic:pic>
                  <pic:nvPicPr>
                    <pic:cNvPr descr="figures/explorer_table_mode.png" id="26" name="Picture"/>
                    <pic:cNvPicPr>
                      <a:picLocks noChangeArrowheads="1" noChangeAspect="1"/>
                    </pic:cNvPicPr>
                  </pic:nvPicPr>
                  <pic:blipFill>
                    <a:blip r:embed="rId24"/>
                    <a:stretch>
                      <a:fillRect/>
                    </a:stretch>
                  </pic:blipFill>
                  <pic:spPr bwMode="auto">
                    <a:xfrm>
                      <a:off x="0" y="0"/>
                      <a:ext cx="5334000" cy="5870352"/>
                    </a:xfrm>
                    <a:prstGeom prst="rect">
                      <a:avLst/>
                    </a:prstGeom>
                    <a:noFill/>
                    <a:ln w="9525">
                      <a:noFill/>
                      <a:headEnd/>
                      <a:tailEnd/>
                    </a:ln>
                  </pic:spPr>
                </pic:pic>
              </a:graphicData>
            </a:graphic>
          </wp:inline>
        </w:drawing>
      </w:r>
    </w:p>
    <w:p>
      <w:pPr>
        <w:pStyle w:val="BodyText"/>
      </w:pPr>
      <w:r>
        <w:t xml:space="preserve">In</w:t>
      </w:r>
      <w:r>
        <w:t xml:space="preserve"> </w:t>
      </w:r>
      <w:r>
        <w:rPr>
          <w:rStyle w:val="VerbatimChar"/>
        </w:rPr>
        <w:t xml:space="preserve">Text mode</w:t>
      </w:r>
      <w:r>
        <w:t xml:space="preserve">, the input is given manually. You switch the input to text, choose a taxonomic level (the default is</w:t>
      </w:r>
      <w:r>
        <w:t xml:space="preserve"> </w:t>
      </w:r>
      <w:r>
        <w:rPr>
          <w:i/>
          <w:iCs/>
        </w:rPr>
        <w:t xml:space="preserve">Species</w:t>
      </w:r>
      <w:r>
        <w:t xml:space="preserve">, and AphiaIDs are disabled for broader levels such as Genus or Family), and paste one</w:t>
      </w:r>
      <w:r>
        <w:t xml:space="preserve"> </w:t>
      </w:r>
      <w:r>
        <w:t xml:space="preserve">entry per line, either a species name or an AphiaID (only available if the taxonomic level choosen is</w:t>
      </w:r>
      <w:r>
        <w:t xml:space="preserve"> </w:t>
      </w:r>
      <w:r>
        <w:t xml:space="preserve">“Species”</w:t>
      </w:r>
      <w:r>
        <w:t xml:space="preserve">). For example:</w:t>
      </w:r>
    </w:p>
    <w:p>
      <w:pPr>
        <w:pStyle w:val="BlockText"/>
      </w:pPr>
      <w:r>
        <w:t xml:space="preserve">Caulerpa taxifolia</w:t>
      </w:r>
    </w:p>
    <w:p>
      <w:pPr>
        <w:pStyle w:val="BlockText"/>
      </w:pPr>
      <w:r>
        <w:t xml:space="preserve">417798</w:t>
      </w:r>
    </w:p>
    <w:p>
      <w:pPr>
        <w:pStyle w:val="BlockText"/>
      </w:pPr>
      <w:r>
        <w:t xml:space="preserve">Homo sapiens</w:t>
      </w:r>
    </w:p>
    <w:p>
      <w:pPr>
        <w:pStyle w:val="FirstParagraph"/>
      </w:pPr>
      <w:r>
        <w:drawing>
          <wp:inline>
            <wp:extent cx="5334000" cy="3084722"/>
            <wp:effectExtent b="0" l="0" r="0" t="0"/>
            <wp:docPr descr="" title="" id="28" name="Picture"/>
            <a:graphic>
              <a:graphicData uri="http://schemas.openxmlformats.org/drawingml/2006/picture">
                <pic:pic>
                  <pic:nvPicPr>
                    <pic:cNvPr descr="figures/explorer_text_mode_warnings.png" id="29" name="Picture"/>
                    <pic:cNvPicPr>
                      <a:picLocks noChangeArrowheads="1" noChangeAspect="1"/>
                    </pic:cNvPicPr>
                  </pic:nvPicPr>
                  <pic:blipFill>
                    <a:blip r:embed="rId27"/>
                    <a:stretch>
                      <a:fillRect/>
                    </a:stretch>
                  </pic:blipFill>
                  <pic:spPr bwMode="auto">
                    <a:xfrm>
                      <a:off x="0" y="0"/>
                      <a:ext cx="5334000" cy="3084722"/>
                    </a:xfrm>
                    <a:prstGeom prst="rect">
                      <a:avLst/>
                    </a:prstGeom>
                    <a:noFill/>
                    <a:ln w="9525">
                      <a:noFill/>
                      <a:headEnd/>
                      <a:tailEnd/>
                    </a:ln>
                  </pic:spPr>
                </pic:pic>
              </a:graphicData>
            </a:graphic>
          </wp:inline>
        </w:drawing>
      </w:r>
    </w:p>
    <w:p>
      <w:pPr>
        <w:pStyle w:val="BodyText"/>
      </w:pPr>
      <w:r>
        <w:t xml:space="preserve">The app displays a warning box if any names or IDs are invalid. Once corrected, the species drop-down menu can be used to finalize the set of species to be examined.</w:t>
      </w:r>
    </w:p>
    <w:p>
      <w:pPr>
        <w:pStyle w:val="BodyText"/>
      </w:pPr>
      <w:r>
        <w:t xml:space="preserve">Once species are selected, the app displays a single interactive map that overlays both introduced/cryptogenic and native ranges at the same time. The legend clearly distinguishes between these categories so that users can interpret the results easily. When multiple species are selected, overlapping regions are styled distinctly, and if a region contains both introduced and cryptogenic records, they are shown in a different color for clarity. Note that the</w:t>
      </w:r>
      <w:r>
        <w:t xml:space="preserve"> </w:t>
      </w:r>
      <w:r>
        <w:rPr>
          <w:rStyle w:val="VerbatimChar"/>
        </w:rPr>
        <w:t xml:space="preserve">Native multiple sp.</w:t>
      </w:r>
      <w:r>
        <w:t xml:space="preserve"> </w:t>
      </w:r>
      <w:r>
        <w:t xml:space="preserve">or</w:t>
      </w:r>
      <w:r>
        <w:t xml:space="preserve"> </w:t>
      </w:r>
      <w:r>
        <w:rPr>
          <w:rStyle w:val="VerbatimChar"/>
        </w:rPr>
        <w:t xml:space="preserve">Introduced multiple sp.</w:t>
      </w:r>
      <w:r>
        <w:t xml:space="preserve"> </w:t>
      </w:r>
      <w:r>
        <w:t xml:space="preserve">in the map legend indicate that the ecoregions is the native area of two or more selected NIS, or is the introduced region of two or more NIS.</w:t>
      </w:r>
    </w:p>
    <w:p>
      <w:pPr>
        <w:pStyle w:val="BodyText"/>
      </w:pPr>
      <w:r>
        <w:drawing>
          <wp:inline>
            <wp:extent cx="5334000" cy="2281154"/>
            <wp:effectExtent b="0" l="0" r="0" t="0"/>
            <wp:docPr descr="" title="" id="31" name="Picture"/>
            <a:graphic>
              <a:graphicData uri="http://schemas.openxmlformats.org/drawingml/2006/picture">
                <pic:pic>
                  <pic:nvPicPr>
                    <pic:cNvPr descr="figures/explorer_map_combined.png" id="32" name="Picture"/>
                    <pic:cNvPicPr>
                      <a:picLocks noChangeArrowheads="1" noChangeAspect="1"/>
                    </pic:cNvPicPr>
                  </pic:nvPicPr>
                  <pic:blipFill>
                    <a:blip r:embed="rId30"/>
                    <a:stretch>
                      <a:fillRect/>
                    </a:stretch>
                  </pic:blipFill>
                  <pic:spPr bwMode="auto">
                    <a:xfrm>
                      <a:off x="0" y="0"/>
                      <a:ext cx="5334000" cy="2281154"/>
                    </a:xfrm>
                    <a:prstGeom prst="rect">
                      <a:avLst/>
                    </a:prstGeom>
                    <a:noFill/>
                    <a:ln w="9525">
                      <a:noFill/>
                      <a:headEnd/>
                      <a:tailEnd/>
                    </a:ln>
                  </pic:spPr>
                </pic:pic>
              </a:graphicData>
            </a:graphic>
          </wp:inline>
        </w:drawing>
      </w:r>
    </w:p>
    <w:p>
      <w:pPr>
        <w:pStyle w:val="BodyText"/>
      </w:pPr>
      <w:r>
        <w:t xml:space="preserve">Below the maps, two range tables are provided. The</w:t>
      </w:r>
      <w:r>
        <w:t xml:space="preserve"> </w:t>
      </w:r>
      <w:r>
        <w:rPr>
          <w:i/>
          <w:iCs/>
        </w:rPr>
        <w:t xml:space="preserve">Introduced Range table</w:t>
      </w:r>
      <w:r>
        <w:t xml:space="preserve"> </w:t>
      </w:r>
      <w:r>
        <w:t xml:space="preserve">lists all regions where the selected species are introduced or cryptogenic, while the</w:t>
      </w:r>
      <w:r>
        <w:t xml:space="preserve"> </w:t>
      </w:r>
      <w:r>
        <w:rPr>
          <w:i/>
          <w:iCs/>
        </w:rPr>
        <w:t xml:space="preserve">Native Range table</w:t>
      </w:r>
      <w:r>
        <w:t xml:space="preserve"> </w:t>
      </w:r>
      <w:r>
        <w:t xml:space="preserve">lists their native regions. These tables include powerful functions such as global search, optional column filters, data export in</w:t>
      </w:r>
      <w:r>
        <w:t xml:space="preserve"> </w:t>
      </w:r>
      <w:r>
        <w:rPr>
          <w:rStyle w:val="VerbatimChar"/>
        </w:rPr>
        <w:t xml:space="preserve">Copy</w:t>
      </w:r>
      <w:r>
        <w:t xml:space="preserve"> </w:t>
      </w:r>
      <w:r>
        <w:t xml:space="preserve">(clipboard),</w:t>
      </w:r>
      <w:r>
        <w:t xml:space="preserve"> </w:t>
      </w:r>
      <w:r>
        <w:rPr>
          <w:rStyle w:val="VerbatimChar"/>
        </w:rPr>
        <w:t xml:space="preserve">CSV</w:t>
      </w:r>
      <w:r>
        <w:t xml:space="preserve">,</w:t>
      </w:r>
      <w:r>
        <w:t xml:space="preserve"> </w:t>
      </w:r>
      <w:r>
        <w:rPr>
          <w:rStyle w:val="VerbatimChar"/>
        </w:rPr>
        <w:t xml:space="preserve">Excel</w:t>
      </w:r>
      <w:r>
        <w:t xml:space="preserve"> </w:t>
      </w:r>
      <w:r>
        <w:t xml:space="preserve">formats, and scroll bars to handle wide or long datasets. Note that if no data are available for a given category (for example, when no native polygons are known for a species), the corresponding panel remains empty.</w:t>
      </w:r>
    </w:p>
    <w:p>
      <w:pPr>
        <w:pStyle w:val="BodyText"/>
      </w:pPr>
      <w:r>
        <w:drawing>
          <wp:inline>
            <wp:extent cx="5334000" cy="1604882"/>
            <wp:effectExtent b="0" l="0" r="0" t="0"/>
            <wp:docPr descr="" title="" id="34" name="Picture"/>
            <a:graphic>
              <a:graphicData uri="http://schemas.openxmlformats.org/drawingml/2006/picture">
                <pic:pic>
                  <pic:nvPicPr>
                    <pic:cNvPr descr="figures/explorer_table.png" id="35" name="Picture"/>
                    <pic:cNvPicPr>
                      <a:picLocks noChangeArrowheads="1" noChangeAspect="1"/>
                    </pic:cNvPicPr>
                  </pic:nvPicPr>
                  <pic:blipFill>
                    <a:blip r:embed="rId33"/>
                    <a:stretch>
                      <a:fillRect/>
                    </a:stretch>
                  </pic:blipFill>
                  <pic:spPr bwMode="auto">
                    <a:xfrm>
                      <a:off x="0" y="0"/>
                      <a:ext cx="5334000" cy="1604882"/>
                    </a:xfrm>
                    <a:prstGeom prst="rect">
                      <a:avLst/>
                    </a:prstGeom>
                    <a:noFill/>
                    <a:ln w="9525">
                      <a:noFill/>
                      <a:headEnd/>
                      <a:tailEnd/>
                    </a:ln>
                  </pic:spPr>
                </pic:pic>
              </a:graphicData>
            </a:graphic>
          </wp:inline>
        </w:drawing>
      </w:r>
    </w:p>
    <w:bookmarkEnd w:id="36"/>
    <w:bookmarkStart w:id="37" w:name="use-cases"/>
    <w:p>
      <w:pPr>
        <w:pStyle w:val="Heading1"/>
      </w:pPr>
      <w:r>
        <w:t xml:space="preserve">Use Cases</w:t>
      </w:r>
    </w:p>
    <w:p>
      <w:pPr>
        <w:pStyle w:val="FirstParagraph"/>
      </w:pPr>
      <w:r>
        <w:t xml:space="preserve">The following examples illustrate the main ways to interact with the application. Each use case outlines a sequence of actions and the corresponding outputs.</w:t>
      </w:r>
    </w:p>
    <w:p>
      <w:pPr>
        <w:pStyle w:val="BodyText"/>
      </w:pPr>
      <w:r>
        <w:t xml:space="preserve">For a regional scan, start by opening the</w:t>
      </w:r>
      <w:r>
        <w:t xml:space="preserve"> </w:t>
      </w:r>
      <w:r>
        <w:rPr>
          <w:i/>
          <w:iCs/>
        </w:rPr>
        <w:t xml:space="preserve">European Introduction Map</w:t>
      </w:r>
      <w:r>
        <w:t xml:space="preserve">. Hover over the regions to check the NIS counts, then click on one or more regions to select them. The species table below the map will update automatically to show the species recorded in the selected areas. Once reviewed, the table can be exported in CSV or Excel format for further analysis.</w:t>
      </w:r>
    </w:p>
    <w:p>
      <w:pPr>
        <w:pStyle w:val="BodyText"/>
      </w:pPr>
      <w:r>
        <w:t xml:space="preserve">For a species comparison, go to the</w:t>
      </w:r>
      <w:r>
        <w:t xml:space="preserve"> </w:t>
      </w:r>
      <w:r>
        <w:rPr>
          <w:i/>
          <w:iCs/>
        </w:rPr>
        <w:t xml:space="preserve">Species Explorer</w:t>
      </w:r>
      <w:r>
        <w:t xml:space="preserve"> </w:t>
      </w:r>
      <w:r>
        <w:t xml:space="preserve">in</w:t>
      </w:r>
      <w:r>
        <w:t xml:space="preserve"> </w:t>
      </w:r>
      <w:r>
        <w:rPr>
          <w:rStyle w:val="VerbatimChar"/>
        </w:rPr>
        <w:t xml:space="preserve">table</w:t>
      </w:r>
      <w:r>
        <w:t xml:space="preserve"> </w:t>
      </w:r>
      <w:r>
        <w:t xml:space="preserve">mode. Select one or multiple species from the taxonomic table. Use the map to see Below the maps, consult the introduced and native range tables, and export them if needed.</w:t>
      </w:r>
    </w:p>
    <w:p>
      <w:pPr>
        <w:pStyle w:val="BodyText"/>
      </w:pPr>
      <w:r>
        <w:t xml:space="preserve">For a batch list query, change the input mode to</w:t>
      </w:r>
      <w:r>
        <w:t xml:space="preserve"> </w:t>
      </w:r>
      <w:r>
        <w:rPr>
          <w:rStyle w:val="VerbatimChar"/>
        </w:rPr>
        <w:t xml:space="preserve">text</w:t>
      </w:r>
      <w:r>
        <w:t xml:space="preserve">. Paste a list of species names/taxonomic level of interest or AphiaIDs, one per line, into the text box. Any invalid entries will be flagged in a warning box; correct them and re-run the search if necessary. The Species The drop-down menu allows you to refine the list of valid species to plot and show in the table, after which you can explore the maps and range tables and export the results.</w:t>
      </w:r>
    </w:p>
    <w:bookmarkEnd w:id="37"/>
    <w:bookmarkStart w:id="38" w:name="tips-troubleshooting"/>
    <w:p>
      <w:pPr>
        <w:pStyle w:val="Heading1"/>
      </w:pPr>
      <w:r>
        <w:t xml:space="preserve">Tips &amp; Troubleshooting</w:t>
      </w:r>
    </w:p>
    <w:p>
      <w:pPr>
        <w:numPr>
          <w:ilvl w:val="0"/>
          <w:numId w:val="1002"/>
        </w:numPr>
      </w:pPr>
      <w:r>
        <w:rPr>
          <w:b/>
          <w:bCs/>
        </w:rPr>
        <w:t xml:space="preserve">Empty results</w:t>
      </w:r>
      <w:r>
        <w:t xml:space="preserve">: If a panel shows no data, this usually means that the species does not have records for that specific category. For example, some species may lack native polygons in the database. In such cases, check the other panel (Introduced or Native) to see if information is available there.</w:t>
      </w:r>
    </w:p>
    <w:p>
      <w:pPr>
        <w:numPr>
          <w:ilvl w:val="0"/>
          <w:numId w:val="1002"/>
        </w:numPr>
      </w:pPr>
      <w:r>
        <w:rPr>
          <w:b/>
          <w:bCs/>
        </w:rPr>
        <w:t xml:space="preserve">Invalid text input</w:t>
      </w:r>
      <w:r>
        <w:t xml:space="preserve">: Errors can occur if species names are misspelled or if AphiaIDs are entered incorrectly. Always use the correct spelling and verify AphiaIDs against reliable sources such as WoRMS. When invalid entries are detected, the app displays a warning box listing the problematic items so that you can correct them and re-run the search.</w:t>
      </w:r>
    </w:p>
    <w:p>
      <w:pPr>
        <w:numPr>
          <w:ilvl w:val="0"/>
          <w:numId w:val="1002"/>
        </w:numPr>
      </w:pPr>
      <w:r>
        <w:rPr>
          <w:b/>
          <w:bCs/>
        </w:rPr>
        <w:t xml:space="preserve">Performance</w:t>
      </w:r>
      <w:r>
        <w:t xml:space="preserve">: Large queries with many species may slow down map rendering and table updates. To improve responsiveness, start with a smaller set of species and gradually increase the number if needed.</w:t>
      </w:r>
    </w:p>
    <w:p>
      <w:pPr>
        <w:numPr>
          <w:ilvl w:val="0"/>
          <w:numId w:val="1002"/>
        </w:numPr>
      </w:pPr>
      <w:r>
        <w:rPr>
          <w:b/>
          <w:bCs/>
        </w:rPr>
        <w:t xml:space="preserve">Reset</w:t>
      </w:r>
      <w:r>
        <w:t xml:space="preserve">: If the interface becomes cluttered or selections are confusing, you can reset easily. In the Species Explorer, use the</w:t>
      </w:r>
      <w:r>
        <w:t xml:space="preserve"> </w:t>
      </w:r>
      <w:r>
        <w:rPr>
          <w:rStyle w:val="VerbatimChar"/>
        </w:rPr>
        <w:t xml:space="preserve">Deselect All</w:t>
      </w:r>
      <w:r>
        <w:t xml:space="preserve"> </w:t>
      </w:r>
      <w:r>
        <w:t xml:space="preserve">button of the drop-down menu to reset the taxonomic table and outputs. In the European Introduction Map, use the</w:t>
      </w:r>
      <w:r>
        <w:t xml:space="preserve"> </w:t>
      </w:r>
      <w:r>
        <w:rPr>
          <w:rStyle w:val="VerbatimChar"/>
        </w:rPr>
        <w:t xml:space="preserve">Reset Table</w:t>
      </w:r>
      <w:r>
        <w:t xml:space="preserve"> </w:t>
      </w:r>
      <w:r>
        <w:t xml:space="preserve">button to clear all selected regions.</w:t>
      </w:r>
    </w:p>
    <w:bookmarkEnd w:id="38"/>
    <w:bookmarkStart w:id="39" w:name="exporting-results"/>
    <w:p>
      <w:pPr>
        <w:pStyle w:val="Heading1"/>
      </w:pPr>
      <w:r>
        <w:t xml:space="preserve">Exporting Results</w:t>
      </w:r>
    </w:p>
    <w:p>
      <w:pPr>
        <w:pStyle w:val="FirstParagraph"/>
      </w:pPr>
      <w:r>
        <w:t xml:space="preserve">All tables in the application provide</w:t>
      </w:r>
      <w:r>
        <w:t xml:space="preserve"> </w:t>
      </w:r>
      <w:r>
        <w:rPr>
          <w:rStyle w:val="VerbatimChar"/>
        </w:rPr>
        <w:t xml:space="preserve">Copy</w:t>
      </w:r>
      <w:r>
        <w:t xml:space="preserve"> </w:t>
      </w:r>
      <w:r>
        <w:t xml:space="preserve">(copy to clipboard),</w:t>
      </w:r>
      <w:r>
        <w:t xml:space="preserve"> </w:t>
      </w:r>
      <w:r>
        <w:rPr>
          <w:rStyle w:val="VerbatimChar"/>
        </w:rPr>
        <w:t xml:space="preserve">CSV</w:t>
      </w:r>
      <w:r>
        <w:t xml:space="preserve">, and</w:t>
      </w:r>
      <w:r>
        <w:t xml:space="preserve"> </w:t>
      </w:r>
      <w:r>
        <w:rPr>
          <w:rStyle w:val="VerbatimChar"/>
        </w:rPr>
        <w:t xml:space="preserve">Excel</w:t>
      </w:r>
      <w:r>
        <w:t xml:space="preserve"> </w:t>
      </w:r>
      <w:r>
        <w:t xml:space="preserve">export buttons, making it easy to save or share the data according to your needs.</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10" Target="media/rId10.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hyperlink" Id="rId18" Target="https://doi.org/10.1641/B570707" TargetMode="External" /><Relationship Type="http://schemas.openxmlformats.org/officeDocument/2006/relationships/hyperlink" Id="rId22" Target="https://www.marinespecies.org/" TargetMode="External" /></Relationships>
</file>

<file path=word/_rels/footnotes.xml.rels><?xml version="1.0" encoding="UTF-8"?><Relationships xmlns="http://schemas.openxmlformats.org/package/2006/relationships"><Relationship Type="http://schemas.openxmlformats.org/officeDocument/2006/relationships/hyperlink" Id="rId18" Target="https://doi.org/10.1641/B570707" TargetMode="External" /><Relationship Type="http://schemas.openxmlformats.org/officeDocument/2006/relationships/hyperlink" Id="rId22" Target="https://www.marinespecie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E-Marinade</dc:title>
  <dc:creator/>
  <cp:keywords/>
  <dcterms:created xsi:type="dcterms:W3CDTF">2025-09-03T12:33:28Z</dcterms:created>
  <dcterms:modified xsi:type="dcterms:W3CDTF">2025-09-03T12:33:28Z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
  </property>
  <property fmtid="{D5CDD505-2E9C-101B-9397-08002B2CF9AE}" pid="4" name="vignette">
    <vt:lpwstr>% % %</vt:lpwstr>
  </property>
</Properties>
</file>